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Times New Roman" w:eastAsia="方正小标宋简体" w:cs="Times New Roman"/>
          <w:color w:val="auto"/>
          <w:kern w:val="2"/>
          <w:sz w:val="44"/>
          <w:szCs w:val="44"/>
          <w:highlight w:val="none"/>
          <w:lang w:val="en-US" w:eastAsia="zh-CN" w:bidi="ar-SA"/>
        </w:rPr>
      </w:pPr>
      <w:bookmarkStart w:id="0" w:name="_Toc15377194"/>
      <w:bookmarkStart w:id="1" w:name="_Toc15396476"/>
      <w:bookmarkStart w:id="2" w:name="_Toc15377426"/>
      <w:bookmarkStart w:id="3" w:name="_Toc15396598"/>
      <w:bookmarkStart w:id="4"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5" w:name="_Toc15306268"/>
      <w:r>
        <w:rPr>
          <w:rFonts w:hint="eastAsia" w:ascii="Times New Roman" w:eastAsia="方正小标宋简体" w:cs="Times New Roman"/>
          <w:color w:val="auto"/>
          <w:kern w:val="2"/>
          <w:sz w:val="44"/>
          <w:szCs w:val="44"/>
          <w:highlight w:val="none"/>
          <w:lang w:val="en-US" w:eastAsia="zh-CN" w:bidi="ar-SA"/>
        </w:rPr>
        <w:t>产业计量测试研究院</w:t>
      </w: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（注：</w:t>
      </w:r>
      <w:r>
        <w:rPr>
          <w:rFonts w:hint="eastAsia" w:eastAsia="仿宋_GB2312" w:cs="仿宋_GB2312"/>
          <w:color w:val="auto"/>
          <w:sz w:val="32"/>
          <w:szCs w:val="32"/>
          <w:highlight w:val="none"/>
          <w:lang w:val="en-US" w:eastAsia="zh-CN"/>
        </w:rPr>
        <w:t>以下为公开范本。单位公开内容应参照单位公开内容和报表格式，并与单位公开内容做好衔接）</w:t>
      </w:r>
    </w:p>
    <w:p>
      <w:pPr>
        <w:rPr>
          <w:rFonts w:hint="eastAsia" w:eastAsia="仿宋_GB2312" w:cs="仿宋_GB2312"/>
          <w:color w:val="auto"/>
          <w:sz w:val="32"/>
          <w:szCs w:val="32"/>
          <w:highlight w:val="none"/>
          <w:lang w:val="en-US" w:eastAsia="zh-CN"/>
        </w:rPr>
      </w:pPr>
    </w:p>
    <w:p>
      <w:pPr>
        <w:pStyle w:val="2"/>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sdt>
      <w:sdtPr>
        <w:rPr>
          <w:rFonts w:ascii="宋体" w:hAnsi="宋体" w:eastAsia="宋体" w:cs="Times New Roman"/>
          <w:kern w:val="2"/>
          <w:sz w:val="21"/>
          <w:szCs w:val="24"/>
          <w:lang w:val="en-US" w:eastAsia="zh-CN" w:bidi="ar-SA"/>
        </w:rPr>
        <w:id w:val="14748118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Times New Roman" w:hAnsi="Times New Roman" w:eastAsia="黑体"/>
              <w:color w:val="auto"/>
              <w:sz w:val="48"/>
              <w:szCs w:val="48"/>
              <w:highlight w:val="none"/>
            </w:rPr>
            <w:t>目录</w:t>
          </w:r>
        </w:p>
        <w:p>
          <w:pPr>
            <w:pStyle w:val="19"/>
            <w:tabs>
              <w:tab w:val="right" w:leader="dot" w:pos="8306"/>
            </w:tabs>
            <w:rPr>
              <w:b/>
            </w:rPr>
          </w:pPr>
          <w:r>
            <w:fldChar w:fldCharType="begin"/>
          </w:r>
          <w:r>
            <w:instrText xml:space="preserve">TOC \o "1-2" \h \u </w:instrText>
          </w:r>
          <w:r>
            <w:fldChar w:fldCharType="separate"/>
          </w:r>
        </w:p>
        <w:p>
          <w:pPr>
            <w:pStyle w:val="9"/>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_Toc11271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pPr>
            <w:pStyle w:val="9"/>
            <w:outlineLvl w:val="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end"/>
          </w: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outlineLvl w:val="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_Toc9143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_Toc8185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单位职责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_Toc8185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- 5 -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_Toc25537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 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_Toc25537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- 5 -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9"/>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_Toc16622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第二部分  2024年度单位决算情况说明</w:t>
          </w:r>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PAGEREF _Toc16622 \h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- 6 -</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_Toc31053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_Toc31053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- 6 -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_Toc17455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eastAsia="zh-CN"/>
            </w:rPr>
            <w:t>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_Toc17455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- 6 -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_Toc27135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_Toc27135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- 7 -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_Toc10114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_Toc10114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- 7 -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_Toc25670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_Toc25670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- 8 -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_Toc1147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_Toc1147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_Toc16329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_Toc16329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_Toc7113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_Toc7113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- 13 -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_Toc30972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_Toc30972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- 13 -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_Toc31997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_Toc31997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- 13 -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pPr>
            <w:pStyle w:val="19"/>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_Toc4253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第三部分  名词解释</w:t>
          </w:r>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PAGEREF _Toc4253 \h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- 15 -</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fldChar w:fldCharType="end"/>
          </w:r>
        </w:p>
        <w:p>
          <w:pPr>
            <w:pStyle w:val="19"/>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_Toc24454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第四部分  附件</w:t>
          </w:r>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PAGEREF _Toc24454 \h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- 20 -</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fldChar w:fldCharType="end"/>
          </w:r>
        </w:p>
        <w:p>
          <w:pPr>
            <w:pStyle w:val="19"/>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_Toc23393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附件1</w:t>
          </w:r>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PAGEREF _Toc23393 \h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- 20 -</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fldChar w:fldCharType="end"/>
          </w:r>
        </w:p>
        <w:p>
          <w:pPr>
            <w:pStyle w:val="19"/>
            <w:tabs>
              <w:tab w:val="right" w:leader="dot" w:pos="8306"/>
            </w:tabs>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_Toc23613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第五部分 附表</w:t>
          </w:r>
          <w:r>
            <w:rPr>
              <w:rFonts w:hint="eastAsia" w:ascii="Times New Roman" w:hAnsi="Times New Roman" w:eastAsia="黑体" w:cs="黑体"/>
              <w:color w:val="auto"/>
              <w:kern w:val="2"/>
              <w:sz w:val="32"/>
              <w:szCs w:val="32"/>
              <w:highlight w:val="none"/>
              <w:lang w:val="en-US" w:eastAsia="zh-CN" w:bidi="ar-SA"/>
            </w:rPr>
            <w:tab/>
          </w: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PAGEREF _Toc23613 \h </w:instrText>
          </w:r>
          <w:r>
            <w:rPr>
              <w:rFonts w:hint="eastAsia" w:ascii="Times New Roman" w:hAnsi="Times New Roman" w:eastAsia="黑体" w:cs="黑体"/>
              <w:color w:val="auto"/>
              <w:kern w:val="2"/>
              <w:sz w:val="32"/>
              <w:szCs w:val="32"/>
              <w:highlight w:val="none"/>
              <w:lang w:val="en-US" w:eastAsia="zh-CN" w:bidi="ar-SA"/>
            </w:rPr>
            <w:fldChar w:fldCharType="separate"/>
          </w:r>
          <w:r>
            <w:rPr>
              <w:rFonts w:hint="eastAsia" w:ascii="Times New Roman" w:hAnsi="Times New Roman" w:eastAsia="黑体" w:cs="黑体"/>
              <w:color w:val="auto"/>
              <w:kern w:val="2"/>
              <w:sz w:val="32"/>
              <w:szCs w:val="32"/>
              <w:highlight w:val="none"/>
              <w:lang w:val="en-US" w:eastAsia="zh-CN" w:bidi="ar-SA"/>
            </w:rPr>
            <w:t>- 21</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一、收入支出决算总表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二、收入决算表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四、财政拨款收入支出决算总表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五、财政拨款支出决算明细表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六、一般公共预算财政拨款支出决算表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七、一般公共预算财政拨款支出决算明细表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八、一般公共预算财政拨款基本支出决算明细表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九、一般公共预算财政拨款项目支出决算表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十、政府性基金预算财政拨款收入支出决算表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十一、国有资本经营预算财政拨款收入支出决算表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十二、国有资本经营预算财政拨款支出决算表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十三、财政拨款“三公”经费支出决算表</w:t>
          </w:r>
        </w:p>
        <w:p>
          <w:pPr>
            <w:pStyle w:val="19"/>
            <w:tabs>
              <w:tab w:val="right" w:leader="dot" w:pos="8306"/>
            </w:tabs>
            <w:rPr>
              <w:b/>
            </w:rPr>
          </w:pPr>
          <w:r>
            <w:rPr>
              <w:rFonts w:hint="eastAsia" w:ascii="Times New Roman" w:hAnsi="Times New Roman" w:eastAsia="黑体" w:cs="黑体"/>
              <w:color w:val="auto"/>
              <w:kern w:val="2"/>
              <w:sz w:val="32"/>
              <w:szCs w:val="32"/>
              <w:highlight w:val="none"/>
              <w:lang w:val="en-US" w:eastAsia="zh-CN" w:bidi="ar-SA"/>
            </w:rPr>
            <w:t>-</w:t>
          </w:r>
          <w:r>
            <w:rPr>
              <w:rFonts w:hint="eastAsia" w:ascii="Times New Roman" w:hAnsi="Times New Roman" w:eastAsia="黑体" w:cs="黑体"/>
              <w:color w:val="auto"/>
              <w:kern w:val="2"/>
              <w:sz w:val="32"/>
              <w:szCs w:val="32"/>
              <w:highlight w:val="none"/>
              <w:lang w:val="en-US" w:eastAsia="zh-CN" w:bidi="ar-SA"/>
            </w:rPr>
            <w:fldChar w:fldCharType="end"/>
          </w:r>
          <w:r>
            <w:rPr>
              <w:rFonts w:hint="eastAsia" w:ascii="Times New Roman" w:hAnsi="Times New Roman" w:eastAsia="黑体" w:cs="黑体"/>
              <w:color w:val="auto"/>
              <w:kern w:val="2"/>
              <w:sz w:val="32"/>
              <w:szCs w:val="32"/>
              <w:highlight w:val="none"/>
              <w:lang w:val="en-US" w:eastAsia="zh-CN" w:bidi="ar-SA"/>
            </w:rPr>
            <w:fldChar w:fldCharType="end"/>
          </w:r>
        </w:p>
        <w:p>
          <w:r>
            <w:rPr>
              <w:b/>
            </w:rPr>
            <w:fldChar w:fldCharType="end"/>
          </w:r>
        </w:p>
      </w:sdtContent>
    </w:sdt>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firstLineChars="200"/>
        <w:jc w:val="left"/>
        <w:textAlignment w:val="auto"/>
        <w:outlineLvl w:val="0"/>
        <w:rPr>
          <w:rFonts w:hint="eastAsia" w:ascii="Times New Roman" w:hAnsi="Times New Roman" w:eastAsia="仿宋_GB2312" w:cs="仿宋_GB2312"/>
          <w:b/>
          <w:bCs/>
          <w:color w:val="auto"/>
          <w:sz w:val="32"/>
          <w:szCs w:val="32"/>
          <w:highlight w:val="none"/>
          <w:lang w:eastAsia="zh-CN"/>
        </w:rPr>
      </w:pPr>
      <w:r>
        <w:rPr>
          <w:rFonts w:ascii="Times New Roman" w:hAnsi="Times New Roman" w:eastAsia="方正小标宋简体"/>
          <w:color w:val="auto"/>
          <w:sz w:val="36"/>
          <w:szCs w:val="36"/>
          <w:highlight w:val="none"/>
        </w:rPr>
        <w:br w:type="page"/>
      </w:r>
    </w:p>
    <w:p>
      <w:pPr>
        <w:keepNext w:val="0"/>
        <w:keepLines w:val="0"/>
        <w:pageBreakBefore w:val="0"/>
        <w:widowControl/>
        <w:kinsoku/>
        <w:wordWrap/>
        <w:overflowPunct/>
        <w:topLinePunct w:val="0"/>
        <w:autoSpaceDE/>
        <w:autoSpaceDN/>
        <w:bidi w:val="0"/>
        <w:spacing w:line="560" w:lineRule="exact"/>
        <w:ind w:firstLine="2200" w:firstLineChars="500"/>
        <w:jc w:val="left"/>
        <w:textAlignment w:val="auto"/>
        <w:rPr>
          <w:rStyle w:val="15"/>
          <w:rFonts w:hint="eastAsia" w:ascii="Times New Roman" w:hAnsi="Times New Roman" w:eastAsia="方正小标宋简体" w:cs="方正小标宋简体"/>
          <w:b/>
          <w:bCs w:val="0"/>
          <w:color w:val="auto"/>
          <w:highlight w:val="none"/>
        </w:rPr>
      </w:pPr>
      <w:bookmarkStart w:id="6" w:name="_Toc15396599"/>
      <w:bookmarkStart w:id="7" w:name="_Toc15377196"/>
      <w:bookmarkStart w:id="8" w:name="_Toc9143"/>
      <w:r>
        <w:rPr>
          <w:rStyle w:val="15"/>
          <w:rFonts w:hint="eastAsia" w:eastAsia="方正小标宋简体" w:cs="方正小标宋简体" w:asciiTheme="minorHAnsi" w:hAnsiTheme="minorHAnsi"/>
          <w:b w:val="0"/>
          <w:bCs w:val="0"/>
          <w:color w:val="auto"/>
          <w:highlight w:val="none"/>
          <w:lang w:eastAsia="zh-CN"/>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5"/>
          <w:rFonts w:hint="eastAsia" w:eastAsia="方正小标宋简体" w:cs="方正小标宋简体"/>
          <w:b w:val="0"/>
          <w:bCs w:val="0"/>
          <w:color w:val="auto"/>
          <w:highlight w:val="none"/>
          <w:lang w:eastAsia="zh-CN"/>
        </w:rPr>
        <w:t>单位</w:t>
      </w:r>
      <w:r>
        <w:rPr>
          <w:rStyle w:val="15"/>
          <w:rFonts w:hint="eastAsia" w:ascii="Times New Roman" w:hAnsi="Times New Roman" w:eastAsia="方正小标宋简体" w:cs="方正小标宋简体"/>
          <w:b w:val="0"/>
          <w:bCs w:val="0"/>
          <w:color w:val="auto"/>
          <w:highlight w:val="none"/>
        </w:rPr>
        <w:t>概况</w:t>
      </w:r>
      <w:bookmarkEnd w:id="6"/>
      <w:bookmarkEnd w:id="7"/>
      <w:bookmarkEnd w:id="8"/>
    </w:p>
    <w:p>
      <w:pPr>
        <w:widowControl/>
        <w:jc w:val="left"/>
        <w:rPr>
          <w:rFonts w:ascii="Times New Roman" w:hAnsi="Times New Roman" w:eastAsia="黑体"/>
          <w:color w:val="auto"/>
          <w:sz w:val="32"/>
          <w:szCs w:val="32"/>
          <w:highlight w:val="none"/>
        </w:rPr>
      </w:pPr>
    </w:p>
    <w:p>
      <w:pPr>
        <w:pStyle w:val="6"/>
        <w:numPr>
          <w:ilvl w:val="0"/>
          <w:numId w:val="1"/>
        </w:numPr>
        <w:rPr>
          <w:rFonts w:hint="eastAsia" w:ascii="Times New Roman" w:hAnsi="Times New Roman" w:eastAsia="黑体"/>
          <w:b w:val="0"/>
          <w:color w:val="auto"/>
          <w:highlight w:val="none"/>
          <w:lang w:eastAsia="zh-CN"/>
        </w:rPr>
      </w:pPr>
      <w:bookmarkStart w:id="9" w:name="_Toc8185"/>
      <w:r>
        <w:rPr>
          <w:rFonts w:hint="eastAsia" w:ascii="Times New Roman" w:hAnsi="Times New Roman" w:eastAsia="黑体"/>
          <w:b w:val="0"/>
          <w:color w:val="auto"/>
          <w:highlight w:val="none"/>
          <w:lang w:eastAsia="zh-CN"/>
        </w:rPr>
        <w:t>单位职责</w:t>
      </w:r>
      <w:bookmarkEnd w:id="9"/>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承担法制计量任务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研究、建立全省社会公用计量标准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承担授权范围内的产业计量检测技术服务，为行业、产业提供全产业链技术服务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开展产业计量检测技术研究。</w:t>
      </w:r>
    </w:p>
    <w:p>
      <w:pPr>
        <w:pStyle w:val="6"/>
        <w:numPr>
          <w:ilvl w:val="0"/>
          <w:numId w:val="1"/>
        </w:numPr>
        <w:ind w:left="0" w:leftChars="0" w:firstLine="0" w:firstLineChars="0"/>
        <w:rPr>
          <w:rStyle w:val="16"/>
          <w:rFonts w:hint="eastAsia" w:ascii="Times New Roman" w:hAnsi="Times New Roman" w:eastAsia="黑体"/>
          <w:b w:val="0"/>
          <w:bCs w:val="0"/>
          <w:color w:val="auto"/>
          <w:highlight w:val="none"/>
        </w:rPr>
      </w:pPr>
      <w:bookmarkStart w:id="10" w:name="_Toc15396601"/>
      <w:bookmarkStart w:id="11" w:name="_Toc25537"/>
      <w:bookmarkStart w:id="12" w:name="_Toc15377200"/>
      <w:r>
        <w:rPr>
          <w:rFonts w:hint="eastAsia" w:ascii="Times New Roman" w:hAnsi="Times New Roman" w:eastAsia="黑体"/>
          <w:b w:val="0"/>
          <w:color w:val="auto"/>
          <w:highlight w:val="none"/>
        </w:rPr>
        <w:t>机</w:t>
      </w:r>
      <w:r>
        <w:rPr>
          <w:rStyle w:val="16"/>
          <w:rFonts w:hint="eastAsia" w:ascii="Times New Roman" w:hAnsi="Times New Roman" w:eastAsia="黑体"/>
          <w:b w:val="0"/>
          <w:bCs w:val="0"/>
          <w:color w:val="auto"/>
          <w:highlight w:val="none"/>
        </w:rPr>
        <w:t>构设置</w:t>
      </w:r>
      <w:bookmarkEnd w:id="10"/>
      <w:bookmarkEnd w:id="11"/>
      <w:bookmarkEnd w:id="12"/>
    </w:p>
    <w:p>
      <w:pPr>
        <w:numPr>
          <w:ilvl w:val="0"/>
          <w:numId w:val="0"/>
        </w:numPr>
        <w:ind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机构情况。四川省产业计量测试研究院</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以下简称“省计量院”）</w:t>
      </w:r>
      <w:r>
        <w:rPr>
          <w:rFonts w:hint="default" w:ascii="Times New Roman" w:hAnsi="Times New Roman" w:eastAsia="仿宋" w:cs="Times New Roman"/>
          <w:sz w:val="32"/>
          <w:szCs w:val="32"/>
        </w:rPr>
        <w:t>系四川省市场监督管理局直属事业单位，单位性质为公益一类事业单位，经费来源：核定收支，以事定费，分类保障。</w:t>
      </w:r>
    </w:p>
    <w:p>
      <w:pPr>
        <w:numPr>
          <w:ilvl w:val="0"/>
          <w:numId w:val="0"/>
        </w:numPr>
        <w:ind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省计量院由</w:t>
      </w:r>
      <w:r>
        <w:rPr>
          <w:rFonts w:hint="eastAsia" w:eastAsia="仿宋" w:cs="Times New Roman"/>
          <w:sz w:val="32"/>
          <w:szCs w:val="32"/>
          <w:lang w:val="en-US" w:eastAsia="zh-CN"/>
        </w:rPr>
        <w:t>7</w:t>
      </w:r>
      <w:r>
        <w:rPr>
          <w:rFonts w:hint="default" w:ascii="Times New Roman" w:hAnsi="Times New Roman" w:eastAsia="仿宋" w:cs="Times New Roman"/>
          <w:sz w:val="32"/>
          <w:szCs w:val="32"/>
          <w:lang w:val="en-US" w:eastAsia="zh-CN"/>
        </w:rPr>
        <w:t>个</w:t>
      </w:r>
      <w:r>
        <w:rPr>
          <w:rFonts w:hint="default" w:ascii="Times New Roman" w:hAnsi="Times New Roman" w:eastAsia="仿宋" w:cs="Times New Roman"/>
          <w:sz w:val="32"/>
          <w:szCs w:val="32"/>
        </w:rPr>
        <w:t>内设科室组成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分别是：</w:t>
      </w:r>
      <w:r>
        <w:rPr>
          <w:rFonts w:hint="default" w:ascii="Times New Roman" w:hAnsi="Times New Roman" w:eastAsia="仿宋" w:cs="Times New Roman"/>
          <w:sz w:val="32"/>
          <w:szCs w:val="32"/>
        </w:rPr>
        <w:t>办公室、</w:t>
      </w:r>
      <w:r>
        <w:rPr>
          <w:rFonts w:hint="default" w:ascii="Times New Roman" w:hAnsi="Times New Roman" w:eastAsia="仿宋" w:cs="Times New Roman"/>
          <w:sz w:val="32"/>
          <w:szCs w:val="32"/>
          <w:lang w:val="en-US" w:eastAsia="zh-CN"/>
        </w:rPr>
        <w:t>党务科、</w:t>
      </w:r>
      <w:r>
        <w:rPr>
          <w:rFonts w:hint="default" w:ascii="Times New Roman" w:hAnsi="Times New Roman" w:eastAsia="仿宋" w:cs="Times New Roman"/>
          <w:sz w:val="32"/>
          <w:szCs w:val="32"/>
        </w:rPr>
        <w:t>技术质量</w:t>
      </w:r>
      <w:r>
        <w:rPr>
          <w:rFonts w:hint="default" w:ascii="Times New Roman" w:hAnsi="Times New Roman" w:eastAsia="仿宋" w:cs="Times New Roman"/>
          <w:sz w:val="32"/>
          <w:szCs w:val="32"/>
          <w:lang w:val="en-US" w:eastAsia="zh-CN"/>
        </w:rPr>
        <w:t>科</w:t>
      </w:r>
      <w:r>
        <w:rPr>
          <w:rFonts w:hint="default" w:ascii="Times New Roman" w:hAnsi="Times New Roman" w:eastAsia="仿宋" w:cs="Times New Roman"/>
          <w:sz w:val="32"/>
          <w:szCs w:val="32"/>
        </w:rPr>
        <w:t>、财务</w:t>
      </w:r>
      <w:r>
        <w:rPr>
          <w:rFonts w:hint="default" w:ascii="Times New Roman" w:hAnsi="Times New Roman" w:eastAsia="仿宋" w:cs="Times New Roman"/>
          <w:sz w:val="32"/>
          <w:szCs w:val="32"/>
          <w:lang w:val="en-US" w:eastAsia="zh-CN"/>
        </w:rPr>
        <w:t>科</w:t>
      </w:r>
      <w:r>
        <w:rPr>
          <w:rFonts w:hint="default" w:ascii="Times New Roman" w:hAnsi="Times New Roman" w:eastAsia="仿宋" w:cs="Times New Roman"/>
          <w:sz w:val="32"/>
          <w:szCs w:val="32"/>
        </w:rPr>
        <w:t>、实验室、</w:t>
      </w:r>
      <w:r>
        <w:rPr>
          <w:rFonts w:hint="default" w:ascii="Times New Roman" w:hAnsi="Times New Roman" w:eastAsia="仿宋" w:cs="Times New Roman"/>
          <w:sz w:val="32"/>
          <w:szCs w:val="32"/>
          <w:lang w:val="en-US" w:eastAsia="zh-CN"/>
        </w:rPr>
        <w:t>碳计量研究中心、</w:t>
      </w:r>
      <w:r>
        <w:rPr>
          <w:rFonts w:hint="default" w:ascii="Times New Roman" w:hAnsi="Times New Roman" w:eastAsia="仿宋" w:cs="Times New Roman"/>
          <w:sz w:val="32"/>
          <w:szCs w:val="32"/>
        </w:rPr>
        <w:t>泸州检测中心。</w:t>
      </w:r>
    </w:p>
    <w:p>
      <w:pPr>
        <w:pStyle w:val="2"/>
        <w:rPr>
          <w:rFonts w:hint="default" w:eastAsia="仿宋"/>
          <w:lang w:val="en-US" w:eastAsia="zh-CN"/>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3" w:name="_Toc15396602"/>
      <w:bookmarkStart w:id="14" w:name="_Toc1662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3"/>
      <w:bookmarkEnd w:id="14"/>
      <w:bookmarkEnd w:id="15"/>
    </w:p>
    <w:p>
      <w:pPr>
        <w:rPr>
          <w:rFonts w:ascii="Times New Roman" w:hAnsi="Times New Roman"/>
          <w:color w:val="auto"/>
          <w:highlight w:val="none"/>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eastAsia" w:ascii="Times New Roman" w:hAnsi="Times New Roman" w:eastAsia="黑体"/>
          <w:b w:val="0"/>
          <w:color w:val="auto"/>
          <w:highlight w:val="none"/>
        </w:rPr>
      </w:pPr>
      <w:bookmarkStart w:id="16" w:name="_Toc31053"/>
      <w:bookmarkStart w:id="17" w:name="_Toc15377205"/>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6"/>
          <w:rFonts w:hint="eastAsia" w:ascii="Times New Roman" w:hAnsi="Times New Roman" w:eastAsia="黑体"/>
          <w:b w:val="0"/>
          <w:color w:val="auto"/>
          <w:highlight w:val="none"/>
        </w:rPr>
        <w:t>入支出决算总体情况说明</w:t>
      </w:r>
      <w:bookmarkEnd w:id="16"/>
      <w:bookmarkEnd w:id="17"/>
      <w:bookmarkEnd w:id="18"/>
    </w:p>
    <w:p>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2600.23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总计增加</w:t>
      </w:r>
      <w:r>
        <w:rPr>
          <w:rFonts w:hint="eastAsia" w:eastAsia="仿宋_GB2312" w:cs="仿宋_GB2312"/>
          <w:color w:val="auto"/>
          <w:sz w:val="32"/>
          <w:szCs w:val="32"/>
          <w:highlight w:val="none"/>
          <w:lang w:val="en-US" w:eastAsia="zh-CN"/>
        </w:rPr>
        <w:t>341.03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15.1</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 xml:space="preserve">一是2024年省计量院事业收入比2023年增长310万元，二是为保护消费者权益，2024年度加大了监督抽查和检查力度，随着监督抽查任务量的增加，相应的经费投入也同步增长。                </w:t>
      </w:r>
    </w:p>
    <w:p>
      <w:pPr>
        <w:pStyle w:val="2"/>
        <w:rPr>
          <w:rFonts w:hint="eastAsia" w:eastAsia="仿宋_GB2312" w:cs="仿宋_GB2312"/>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895350</wp:posOffset>
            </wp:positionH>
            <wp:positionV relativeFrom="paragraph">
              <wp:posOffset>127635</wp:posOffset>
            </wp:positionV>
            <wp:extent cx="3559810" cy="2547620"/>
            <wp:effectExtent l="0" t="0" r="2540" b="5080"/>
            <wp:wrapTight wrapText="bothSides">
              <wp:wrapPolygon>
                <wp:start x="0" y="0"/>
                <wp:lineTo x="0" y="21482"/>
                <wp:lineTo x="21500" y="21482"/>
                <wp:lineTo x="21500"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3559810" cy="2547620"/>
                    </a:xfrm>
                    <a:prstGeom prst="rect">
                      <a:avLst/>
                    </a:prstGeom>
                    <a:noFill/>
                    <a:ln>
                      <a:noFill/>
                    </a:ln>
                  </pic:spPr>
                </pic:pic>
              </a:graphicData>
            </a:graphic>
          </wp:anchor>
        </w:drawing>
      </w: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77206"/>
      <w:bookmarkStart w:id="20" w:name="_Toc15396604"/>
      <w:bookmarkStart w:id="21" w:name="_Toc17455"/>
      <w:r>
        <w:rPr>
          <w:rFonts w:hint="eastAsia" w:eastAsia="黑体"/>
          <w:color w:val="auto"/>
          <w:sz w:val="32"/>
          <w:szCs w:val="32"/>
          <w:highlight w:val="none"/>
          <w:lang w:val="en-US" w:eastAsia="zh-CN"/>
        </w:rPr>
        <w:t>二、</w:t>
      </w:r>
      <w:r>
        <w:rPr>
          <w:rFonts w:hint="eastAsia" w:ascii="Times New Roman" w:hAnsi="Times New Roman" w:eastAsia="黑体"/>
          <w:color w:val="auto"/>
          <w:sz w:val="32"/>
          <w:szCs w:val="32"/>
          <w:highlight w:val="none"/>
          <w:lang w:eastAsia="zh-CN"/>
        </w:rPr>
        <w:t>收入决算情况说明</w:t>
      </w:r>
      <w:bookmarkEnd w:id="19"/>
      <w:bookmarkEnd w:id="20"/>
      <w:bookmarkEnd w:id="21"/>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bookmarkStart w:id="22" w:name="_Toc7289"/>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2600.23</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1640.59</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63.09</w:t>
      </w:r>
      <w:r>
        <w:rPr>
          <w:rFonts w:hint="eastAsia" w:ascii="Times New Roman" w:hAnsi="Times New Roman" w:eastAsia="仿宋_GB2312" w:cs="仿宋_GB2312"/>
          <w:color w:val="auto"/>
          <w:sz w:val="32"/>
          <w:szCs w:val="32"/>
          <w:highlight w:val="none"/>
          <w:lang w:eastAsia="zh-CN"/>
        </w:rPr>
        <w:t>%；事业收入</w:t>
      </w:r>
      <w:r>
        <w:rPr>
          <w:rFonts w:hint="eastAsia" w:eastAsia="仿宋_GB2312" w:cs="仿宋_GB2312"/>
          <w:color w:val="auto"/>
          <w:sz w:val="32"/>
          <w:szCs w:val="32"/>
          <w:highlight w:val="none"/>
          <w:lang w:val="en-US" w:eastAsia="zh-CN"/>
        </w:rPr>
        <w:t>959.64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36.91</w:t>
      </w:r>
      <w:r>
        <w:rPr>
          <w:rFonts w:hint="eastAsia" w:ascii="Times New Roman" w:hAnsi="Times New Roman" w:eastAsia="仿宋_GB2312" w:cs="仿宋_GB2312"/>
          <w:color w:val="auto"/>
          <w:sz w:val="32"/>
          <w:szCs w:val="32"/>
          <w:highlight w:val="none"/>
          <w:lang w:eastAsia="zh-CN"/>
        </w:rPr>
        <w:t>%。</w:t>
      </w:r>
      <w:bookmarkEnd w:id="22"/>
    </w:p>
    <w:p>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828675</wp:posOffset>
            </wp:positionH>
            <wp:positionV relativeFrom="paragraph">
              <wp:posOffset>-337185</wp:posOffset>
            </wp:positionV>
            <wp:extent cx="3380105" cy="2615565"/>
            <wp:effectExtent l="0" t="0" r="10795" b="13335"/>
            <wp:wrapTight wrapText="bothSides">
              <wp:wrapPolygon>
                <wp:start x="0" y="0"/>
                <wp:lineTo x="0" y="21395"/>
                <wp:lineTo x="21426" y="21395"/>
                <wp:lineTo x="2142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80105" cy="2615565"/>
                    </a:xfrm>
                    <a:prstGeom prst="rect">
                      <a:avLst/>
                    </a:prstGeom>
                    <a:noFill/>
                    <a:ln>
                      <a:noFill/>
                    </a:ln>
                  </pic:spPr>
                </pic:pic>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eastAsia" w:ascii="Times New Roman" w:hAnsi="Times New Roman" w:eastAsia="黑体"/>
          <w:b w:val="0"/>
          <w:color w:val="auto"/>
          <w:highlight w:val="none"/>
        </w:rPr>
      </w:pPr>
      <w:bookmarkStart w:id="23" w:name="_Toc15396605"/>
      <w:bookmarkStart w:id="24" w:name="_Toc15377207"/>
      <w:bookmarkStart w:id="25" w:name="_Toc2713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6"/>
          <w:rFonts w:hint="eastAsia" w:ascii="Times New Roman" w:hAnsi="Times New Roman" w:eastAsia="黑体"/>
          <w:b w:val="0"/>
          <w:color w:val="auto"/>
          <w:highlight w:val="none"/>
        </w:rPr>
        <w:t>出决算情况说明</w:t>
      </w:r>
      <w:bookmarkEnd w:id="23"/>
      <w:bookmarkEnd w:id="24"/>
      <w:bookmarkEnd w:id="25"/>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bookmarkStart w:id="26" w:name="_Toc15024"/>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2296.5</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674.35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29.36</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1622.15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70.64</w:t>
      </w:r>
      <w:r>
        <w:rPr>
          <w:rFonts w:hint="eastAsia" w:ascii="Times New Roman" w:hAnsi="Times New Roman" w:eastAsia="仿宋_GB2312" w:cs="仿宋_GB2312"/>
          <w:color w:val="auto"/>
          <w:sz w:val="32"/>
          <w:szCs w:val="32"/>
          <w:highlight w:val="none"/>
          <w:lang w:eastAsia="zh-CN"/>
        </w:rPr>
        <w:t>%。</w:t>
      </w:r>
      <w:bookmarkEnd w:id="26"/>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1057275</wp:posOffset>
            </wp:positionH>
            <wp:positionV relativeFrom="paragraph">
              <wp:posOffset>219075</wp:posOffset>
            </wp:positionV>
            <wp:extent cx="3114040" cy="2406015"/>
            <wp:effectExtent l="0" t="0" r="10160" b="13335"/>
            <wp:wrapTight wrapText="bothSides">
              <wp:wrapPolygon>
                <wp:start x="0" y="0"/>
                <wp:lineTo x="0" y="21378"/>
                <wp:lineTo x="21406" y="21378"/>
                <wp:lineTo x="21406"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114040" cy="2406015"/>
                    </a:xfrm>
                    <a:prstGeom prst="rect">
                      <a:avLst/>
                    </a:prstGeom>
                    <a:noFill/>
                    <a:ln>
                      <a:noFill/>
                    </a:ln>
                  </pic:spPr>
                </pic:pic>
              </a:graphicData>
            </a:graphic>
          </wp:anchor>
        </w:drawing>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b/>
          <w:bCs/>
          <w:color w:val="auto"/>
          <w:sz w:val="32"/>
          <w:szCs w:val="32"/>
          <w:highlight w:val="none"/>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b/>
          <w:bCs/>
          <w:color w:val="auto"/>
          <w:sz w:val="32"/>
          <w:szCs w:val="32"/>
          <w:highlight w:val="none"/>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b/>
          <w:bCs/>
          <w:color w:val="auto"/>
          <w:sz w:val="32"/>
          <w:szCs w:val="32"/>
          <w:highlight w:val="none"/>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b/>
          <w:bCs/>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16"/>
          <w:rFonts w:ascii="Times New Roman" w:hAnsi="Times New Roman" w:eastAsia="黑体"/>
          <w:b w:val="0"/>
          <w:color w:val="auto"/>
          <w:highlight w:val="none"/>
        </w:rPr>
      </w:pPr>
      <w:bookmarkStart w:id="27" w:name="_Toc15396606"/>
      <w:bookmarkStart w:id="28" w:name="_Toc15377208"/>
      <w:bookmarkStart w:id="29" w:name="_Toc10114"/>
      <w:r>
        <w:rPr>
          <w:rFonts w:hint="eastAsia" w:ascii="Times New Roman" w:hAnsi="Times New Roman" w:eastAsia="黑体"/>
          <w:color w:val="auto"/>
          <w:sz w:val="32"/>
          <w:szCs w:val="32"/>
          <w:highlight w:val="none"/>
        </w:rPr>
        <w:t>四、财</w:t>
      </w:r>
      <w:r>
        <w:rPr>
          <w:rStyle w:val="16"/>
          <w:rFonts w:hint="eastAsia" w:ascii="Times New Roman" w:hAnsi="Times New Roman" w:eastAsia="黑体"/>
          <w:b w:val="0"/>
          <w:color w:val="auto"/>
          <w:highlight w:val="none"/>
        </w:rPr>
        <w:t>政拨款收入支出决算总体情况说明</w:t>
      </w:r>
      <w:bookmarkEnd w:id="27"/>
      <w:bookmarkEnd w:id="28"/>
      <w:bookmarkEnd w:id="29"/>
    </w:p>
    <w:p>
      <w:pPr>
        <w:spacing w:line="600" w:lineRule="exact"/>
        <w:ind w:firstLine="840" w:firstLineChars="400"/>
        <w:rPr>
          <w:rFonts w:hint="eastAsia" w:eastAsia="仿宋_GB2312" w:cs="仿宋_GB2312"/>
          <w:color w:val="auto"/>
          <w:sz w:val="32"/>
          <w:szCs w:val="32"/>
          <w:highlight w:val="none"/>
          <w:lang w:val="en-US" w:eastAsia="zh-CN"/>
        </w:rPr>
      </w:pPr>
      <w:r>
        <w:drawing>
          <wp:anchor distT="0" distB="0" distL="114300" distR="114300" simplePos="0" relativeHeight="251662336" behindDoc="1" locked="0" layoutInCell="1" allowOverlap="1">
            <wp:simplePos x="0" y="0"/>
            <wp:positionH relativeFrom="column">
              <wp:posOffset>828675</wp:posOffset>
            </wp:positionH>
            <wp:positionV relativeFrom="paragraph">
              <wp:posOffset>2257425</wp:posOffset>
            </wp:positionV>
            <wp:extent cx="3725545" cy="2465705"/>
            <wp:effectExtent l="0" t="0" r="8255" b="10795"/>
            <wp:wrapTight wrapText="bothSides">
              <wp:wrapPolygon>
                <wp:start x="0" y="0"/>
                <wp:lineTo x="0" y="21361"/>
                <wp:lineTo x="21537" y="21361"/>
                <wp:lineTo x="2153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725545" cy="2465705"/>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1640.59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30.42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为保护消费者权益，2024年度加大了监督抽查和检查力度，随着监督抽查任务量的增加，相应的经费投入也同步增长。</w:t>
      </w:r>
    </w:p>
    <w:p>
      <w:pPr>
        <w:pStyle w:val="2"/>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eastAsia" w:eastAsia="仿宋_GB2312" w:cs="仿宋_GB2312"/>
          <w:color w:val="auto"/>
          <w:sz w:val="32"/>
          <w:szCs w:val="32"/>
          <w:highlight w:val="none"/>
          <w:lang w:val="en-US" w:eastAsia="zh-CN"/>
        </w:rPr>
      </w:pPr>
    </w:p>
    <w:p>
      <w:pPr>
        <w:pStyle w:val="3"/>
        <w:rPr>
          <w:rFonts w:hint="default" w:eastAsia="仿宋_GB2312" w:cs="仿宋_GB2312"/>
          <w:color w:val="auto"/>
          <w:sz w:val="32"/>
          <w:szCs w:val="32"/>
          <w:highlight w:val="none"/>
          <w:lang w:val="en-US" w:eastAsia="zh-CN"/>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16"/>
          <w:rFonts w:ascii="Times New Roman" w:hAnsi="Times New Roman" w:eastAsia="黑体"/>
          <w:b w:val="0"/>
          <w:color w:val="auto"/>
          <w:highlight w:val="none"/>
        </w:rPr>
      </w:pPr>
      <w:bookmarkStart w:id="30" w:name="_Toc25670"/>
      <w:bookmarkStart w:id="31" w:name="_Toc15377209"/>
      <w:bookmarkStart w:id="32"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6"/>
          <w:rFonts w:hint="eastAsia" w:ascii="Times New Roman" w:hAnsi="Times New Roman" w:eastAsia="黑体"/>
          <w:b w:val="0"/>
          <w:color w:val="auto"/>
          <w:highlight w:val="none"/>
        </w:rPr>
        <w:t>般公共预算财政拨款支出决算情况说明</w:t>
      </w:r>
      <w:bookmarkEnd w:id="30"/>
      <w:bookmarkEnd w:id="31"/>
      <w:bookmarkEnd w:id="3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1640.59</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71.44</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30.42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为保护消费者权益，2024年度加大了监督抽查和检查力度，随着监督抽查任务量的增加，相应的经费投入也同步增长。</w:t>
      </w:r>
    </w:p>
    <w:p>
      <w:pPr>
        <w:pStyle w:val="2"/>
        <w:rPr>
          <w:rFonts w:hint="eastAsia" w:eastAsia="仿宋_GB2312" w:cs="仿宋_GB2312"/>
          <w:color w:val="auto"/>
          <w:sz w:val="32"/>
          <w:szCs w:val="32"/>
          <w:highlight w:val="none"/>
          <w:lang w:val="en-US" w:eastAsia="zh-CN"/>
        </w:rPr>
      </w:pPr>
      <w:r>
        <w:drawing>
          <wp:anchor distT="0" distB="0" distL="114300" distR="114300" simplePos="0" relativeHeight="251663360" behindDoc="1" locked="0" layoutInCell="1" allowOverlap="1">
            <wp:simplePos x="0" y="0"/>
            <wp:positionH relativeFrom="column">
              <wp:posOffset>714375</wp:posOffset>
            </wp:positionH>
            <wp:positionV relativeFrom="paragraph">
              <wp:posOffset>80645</wp:posOffset>
            </wp:positionV>
            <wp:extent cx="3678555" cy="2501265"/>
            <wp:effectExtent l="0" t="0" r="17145" b="13335"/>
            <wp:wrapTight wrapText="bothSides">
              <wp:wrapPolygon>
                <wp:start x="0" y="0"/>
                <wp:lineTo x="0" y="21386"/>
                <wp:lineTo x="21477" y="21386"/>
                <wp:lineTo x="2147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3678555" cy="2501265"/>
                    </a:xfrm>
                    <a:prstGeom prst="rect">
                      <a:avLst/>
                    </a:prstGeom>
                    <a:noFill/>
                    <a:ln>
                      <a:noFill/>
                    </a:ln>
                  </pic:spPr>
                </pic:pic>
              </a:graphicData>
            </a:graphic>
          </wp:anchor>
        </w:drawing>
      </w:r>
    </w:p>
    <w:p>
      <w:pPr>
        <w:pStyle w:val="3"/>
        <w:rPr>
          <w:rFonts w:hint="eastAsia" w:eastAsia="仿宋_GB2312" w:cs="仿宋_GB2312"/>
          <w:color w:val="auto"/>
          <w:sz w:val="32"/>
          <w:szCs w:val="32"/>
          <w:highlight w:val="none"/>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480" w:firstLineChars="200"/>
        <w:rPr>
          <w:rFonts w:hint="eastAsia" w:ascii="Times New Roman" w:hAnsi="Times New Roman" w:eastAsia="仿宋_GB2312" w:cs="仿宋_GB2312"/>
          <w:color w:val="auto"/>
          <w:kern w:val="2"/>
          <w:sz w:val="24"/>
          <w:szCs w:val="24"/>
          <w:highlight w:val="none"/>
          <w:lang w:val="en-US" w:eastAsia="zh-CN" w:bidi="ar-SA"/>
        </w:rPr>
      </w:pPr>
      <w:r>
        <w:rPr>
          <w:rFonts w:hint="eastAsia" w:ascii="Times New Roman" w:hAnsi="Times New Roman" w:eastAsia="仿宋_GB2312" w:cs="仿宋_GB2312"/>
          <w:color w:val="auto"/>
          <w:kern w:val="2"/>
          <w:sz w:val="24"/>
          <w:szCs w:val="24"/>
          <w:highlight w:val="none"/>
          <w:lang w:val="en-US" w:eastAsia="zh-CN" w:bidi="ar-SA"/>
        </w:rPr>
        <w:t>（图5：一般公共预算财政拨款支出决算变动情况）（柱状图）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1640.59</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1613.52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98.35</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8.08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8.38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0.51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ascii="Times New Roman" w:hAnsi="Times New Roman" w:eastAsia="仿宋_GB2312" w:cs="仿宋_GB2312"/>
          <w:b/>
          <w:bCs/>
          <w:color w:val="auto"/>
          <w:kern w:val="2"/>
          <w:sz w:val="32"/>
          <w:szCs w:val="32"/>
          <w:highlight w:val="none"/>
          <w:lang w:val="en-US" w:eastAsia="zh-CN" w:bidi="ar-SA"/>
        </w:rPr>
      </w:pPr>
    </w:p>
    <w:p>
      <w:pPr>
        <w:pStyle w:val="3"/>
        <w:ind w:left="0" w:leftChars="0" w:firstLine="0" w:firstLineChars="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4384" behindDoc="1" locked="0" layoutInCell="1" allowOverlap="1">
            <wp:simplePos x="0" y="0"/>
            <wp:positionH relativeFrom="column">
              <wp:posOffset>800100</wp:posOffset>
            </wp:positionH>
            <wp:positionV relativeFrom="paragraph">
              <wp:posOffset>7620</wp:posOffset>
            </wp:positionV>
            <wp:extent cx="3482340" cy="2258695"/>
            <wp:effectExtent l="0" t="0" r="3810" b="8255"/>
            <wp:wrapTight wrapText="bothSides">
              <wp:wrapPolygon>
                <wp:start x="0" y="0"/>
                <wp:lineTo x="0" y="21497"/>
                <wp:lineTo x="21505" y="21497"/>
                <wp:lineTo x="2150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3482340" cy="2258695"/>
                    </a:xfrm>
                    <a:prstGeom prst="rect">
                      <a:avLst/>
                    </a:prstGeom>
                    <a:noFill/>
                    <a:ln>
                      <a:noFill/>
                    </a:ln>
                  </pic:spPr>
                </pic:pic>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5" w:name="_Toc1537721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3"/>
      <w:bookmarkStart w:id="37" w:name="_Toc15378460"/>
      <w:bookmarkStart w:id="3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1640.59万元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86.28</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pPr>
        <w:numPr>
          <w:ilvl w:val="0"/>
          <w:numId w:val="0"/>
        </w:numPr>
        <w:spacing w:line="600" w:lineRule="exact"/>
        <w:ind w:firstLine="640" w:firstLineChars="200"/>
        <w:rPr>
          <w:rStyle w:val="14"/>
          <w:rFonts w:hint="default" w:ascii="Times New Roman" w:hAnsi="Times New Roman" w:eastAsia="仿宋" w:cs="Times New Roman"/>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一般公共服务（类）市场监督管理事务（款）质量基础（项）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682.87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99.67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预算编制时基于估算，实际支出有正常的波动（差旅费、购样费、专用材料费等）；</w:t>
      </w:r>
      <w:r>
        <w:rPr>
          <w:rFonts w:hint="eastAsia" w:ascii="Times New Roman" w:hAnsi="Times New Roman" w:eastAsia="仿宋_GB2312" w:cs="仿宋_GB2312"/>
          <w:color w:val="auto"/>
          <w:kern w:val="2"/>
          <w:sz w:val="32"/>
          <w:szCs w:val="32"/>
          <w:highlight w:val="none"/>
          <w:lang w:val="en-US" w:eastAsia="zh-CN" w:bidi="ar-SA"/>
        </w:rPr>
        <w:t>一般公共服务（类）市场监督管理事务（款）质量安全监管（项）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115.42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99.81</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预算编制时基于估算，实际支出有正常的波动（差旅费、购样费、专用材料费等）；</w:t>
      </w:r>
      <w:r>
        <w:rPr>
          <w:rFonts w:hint="eastAsia" w:ascii="Times New Roman" w:hAnsi="Times New Roman" w:eastAsia="仿宋_GB2312" w:cs="仿宋_GB2312"/>
          <w:color w:val="auto"/>
          <w:kern w:val="2"/>
          <w:sz w:val="32"/>
          <w:szCs w:val="32"/>
          <w:highlight w:val="none"/>
          <w:lang w:val="en-US" w:eastAsia="zh-CN" w:bidi="ar-SA"/>
        </w:rPr>
        <w:t>一般公共服务（类）市场监督管理事务（款）事业运行（项）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285.41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99.45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，决算数小于预算数的主要原因是基本支出合理范围的预算波动；</w:t>
      </w:r>
      <w:r>
        <w:rPr>
          <w:rFonts w:hint="eastAsia" w:ascii="Times New Roman" w:hAnsi="Times New Roman" w:eastAsia="仿宋_GB2312" w:cs="仿宋_GB2312"/>
          <w:color w:val="auto"/>
          <w:kern w:val="2"/>
          <w:sz w:val="32"/>
          <w:szCs w:val="32"/>
          <w:highlight w:val="none"/>
          <w:lang w:val="en-US" w:eastAsia="zh-CN" w:bidi="ar-SA"/>
        </w:rPr>
        <w:t>一般公共服务（类）市场监督管理事务（款）其他市场监督管理事务（项）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529.81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67.05</w:t>
      </w:r>
      <w:r>
        <w:rPr>
          <w:rFonts w:hint="eastAsia" w:ascii="Times New Roman" w:hAnsi="Times New Roman" w:eastAsia="仿宋_GB2312" w:cs="仿宋_GB2312"/>
          <w:color w:val="auto"/>
          <w:kern w:val="2"/>
          <w:sz w:val="32"/>
          <w:szCs w:val="32"/>
          <w:highlight w:val="none"/>
          <w:lang w:val="en-US" w:eastAsia="zh-CN" w:bidi="ar-SA"/>
        </w:rPr>
        <w:t>%，决算数小于预算数的主要原因</w:t>
      </w:r>
      <w:r>
        <w:rPr>
          <w:rStyle w:val="14"/>
          <w:rFonts w:hint="default" w:ascii="Times New Roman" w:hAnsi="Times New Roman" w:eastAsia="仿宋" w:cs="Times New Roman"/>
          <w:b w:val="0"/>
          <w:bCs w:val="0"/>
          <w:color w:val="auto"/>
          <w:sz w:val="32"/>
          <w:szCs w:val="32"/>
          <w:highlight w:val="none"/>
        </w:rPr>
        <w:t>是</w:t>
      </w:r>
      <w:r>
        <w:rPr>
          <w:rStyle w:val="14"/>
          <w:rFonts w:hint="default" w:ascii="Times New Roman" w:hAnsi="Times New Roman" w:eastAsia="仿宋" w:cs="Times New Roman"/>
          <w:b w:val="0"/>
          <w:bCs w:val="0"/>
          <w:color w:val="auto"/>
          <w:sz w:val="32"/>
          <w:szCs w:val="32"/>
          <w:highlight w:val="none"/>
          <w:lang w:val="en-US" w:eastAsia="zh-CN"/>
        </w:rPr>
        <w:t>政府采购项目正常结转。</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.科学技术（类）科学技术支出（款）重点研发计划（项）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8.08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90.79</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科研项目有部分间接经费未分配。</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16"/>
          <w:rFonts w:ascii="Times New Roman" w:hAnsi="Times New Roman"/>
          <w:color w:val="auto"/>
          <w:highlight w:val="none"/>
        </w:rPr>
      </w:pPr>
      <w:bookmarkStart w:id="39" w:name="_Toc15396608"/>
      <w:bookmarkStart w:id="40" w:name="_Toc15377214"/>
      <w:bookmarkStart w:id="41" w:name="_Toc114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6"/>
          <w:rFonts w:hint="eastAsia" w:ascii="Times New Roman" w:hAnsi="Times New Roman" w:eastAsia="黑体"/>
          <w:b w:val="0"/>
          <w:color w:val="auto"/>
          <w:highlight w:val="none"/>
        </w:rPr>
        <w:t>般公共预算财政拨款基本支出决算情况说明</w:t>
      </w:r>
      <w:bookmarkEnd w:id="39"/>
      <w:bookmarkEnd w:id="40"/>
      <w:bookmarkEnd w:id="41"/>
      <w:r>
        <w:rPr>
          <w:rStyle w:val="16"/>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179.41</w:t>
      </w:r>
      <w:r>
        <w:rPr>
          <w:rFonts w:hint="eastAsia" w:ascii="Times New Roman" w:hAnsi="Times New Roman" w:eastAsia="仿宋_GB2312" w:cs="仿宋_GB2312"/>
          <w:color w:val="auto"/>
          <w:kern w:val="2"/>
          <w:sz w:val="32"/>
          <w:szCs w:val="32"/>
          <w:highlight w:val="none"/>
          <w:lang w:val="en-US" w:eastAsia="zh-CN" w:bidi="ar-SA"/>
        </w:rPr>
        <w:t>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123.4</w:t>
      </w:r>
      <w:r>
        <w:rPr>
          <w:rFonts w:hint="eastAsia" w:ascii="Times New Roman" w:hAnsi="Times New Roman" w:eastAsia="仿宋_GB2312" w:cs="仿宋_GB2312"/>
          <w:color w:val="auto"/>
          <w:kern w:val="2"/>
          <w:sz w:val="32"/>
          <w:szCs w:val="32"/>
          <w:highlight w:val="none"/>
          <w:lang w:val="en-US" w:eastAsia="zh-CN" w:bidi="ar-SA"/>
        </w:rPr>
        <w:t>万元，主要包括：基本工资、绩效工资、机关事业单位基本养老保险缴费、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职业年金缴费、其他社会保障缴费、住房公积金。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56.01</w:t>
      </w:r>
      <w:r>
        <w:rPr>
          <w:rFonts w:hint="eastAsia" w:ascii="Times New Roman" w:hAnsi="Times New Roman" w:eastAsia="仿宋_GB2312" w:cs="仿宋_GB2312"/>
          <w:color w:val="auto"/>
          <w:kern w:val="2"/>
          <w:sz w:val="32"/>
          <w:szCs w:val="32"/>
          <w:highlight w:val="none"/>
          <w:lang w:val="en-US" w:eastAsia="zh-CN" w:bidi="ar-SA"/>
        </w:rPr>
        <w:t>万元，主要包括：物业管理费、差旅费、会议费、培训费、公务接待费、劳务费、公务用车运行维护费、其他商品和服务支出。</w:t>
      </w:r>
    </w:p>
    <w:p>
      <w:pPr>
        <w:spacing w:line="600" w:lineRule="exact"/>
        <w:ind w:firstLine="640"/>
        <w:outlineLvl w:val="1"/>
        <w:rPr>
          <w:rStyle w:val="16"/>
          <w:rFonts w:ascii="Times New Roman" w:hAnsi="Times New Roman" w:eastAsia="黑体"/>
          <w:b w:val="0"/>
          <w:color w:val="auto"/>
          <w:highlight w:val="none"/>
        </w:rPr>
      </w:pPr>
      <w:bookmarkStart w:id="42" w:name="_Toc16329"/>
      <w:bookmarkStart w:id="43" w:name="_Toc15377215"/>
      <w:bookmarkStart w:id="44" w:name="_Toc15396609"/>
      <w:r>
        <w:rPr>
          <w:rFonts w:hint="eastAsia" w:ascii="Times New Roman" w:hAnsi="Times New Roman" w:eastAsia="黑体"/>
          <w:color w:val="auto"/>
          <w:sz w:val="32"/>
          <w:szCs w:val="32"/>
          <w:highlight w:val="none"/>
        </w:rPr>
        <w:t>七、</w:t>
      </w:r>
      <w:r>
        <w:rPr>
          <w:rStyle w:val="16"/>
          <w:rFonts w:hint="eastAsia" w:ascii="Times New Roman" w:hAnsi="Times New Roman" w:eastAsia="黑体"/>
          <w:b w:val="0"/>
          <w:color w:val="auto"/>
          <w:highlight w:val="none"/>
        </w:rPr>
        <w:t>财政拨款</w:t>
      </w:r>
      <w:r>
        <w:rPr>
          <w:rStyle w:val="16"/>
          <w:rFonts w:hint="eastAsia" w:ascii="Times New Roman" w:hAnsi="Times New Roman" w:eastAsia="黑体"/>
          <w:color w:val="auto"/>
          <w:highlight w:val="none"/>
        </w:rPr>
        <w:t>“</w:t>
      </w:r>
      <w:r>
        <w:rPr>
          <w:rStyle w:val="16"/>
          <w:rFonts w:hint="eastAsia" w:ascii="Times New Roman" w:hAnsi="Times New Roman" w:eastAsia="黑体"/>
          <w:b w:val="0"/>
          <w:color w:val="auto"/>
          <w:highlight w:val="none"/>
        </w:rPr>
        <w:t>三公”经费支出决算情况说明</w:t>
      </w:r>
      <w:bookmarkEnd w:id="42"/>
      <w:bookmarkEnd w:id="43"/>
      <w:bookmarkEnd w:id="44"/>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4.01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省计量院严格落实过紧日子的要求，压减“三公”经费支出。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3.01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75.1</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24.9</w:t>
      </w:r>
      <w:r>
        <w:rPr>
          <w:rFonts w:hint="eastAsia" w:ascii="Times New Roman" w:hAnsi="Times New Roman" w:eastAsia="仿宋_GB2312" w:cs="仿宋_GB2312"/>
          <w:color w:val="auto"/>
          <w:kern w:val="2"/>
          <w:sz w:val="32"/>
          <w:szCs w:val="32"/>
          <w:highlight w:val="none"/>
          <w:lang w:val="en-US" w:eastAsia="zh-CN" w:bidi="ar-SA"/>
        </w:rPr>
        <w:t>%。具体情况如下：</w:t>
      </w:r>
    </w:p>
    <w:p>
      <w:pPr>
        <w:pStyle w:val="2"/>
        <w:rPr>
          <w:rFonts w:hint="default"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1" locked="0" layoutInCell="1" allowOverlap="1">
            <wp:simplePos x="0" y="0"/>
            <wp:positionH relativeFrom="column">
              <wp:posOffset>1135380</wp:posOffset>
            </wp:positionH>
            <wp:positionV relativeFrom="paragraph">
              <wp:posOffset>95885</wp:posOffset>
            </wp:positionV>
            <wp:extent cx="3086100" cy="2194560"/>
            <wp:effectExtent l="0" t="0" r="0" b="15240"/>
            <wp:wrapTight wrapText="bothSides">
              <wp:wrapPolygon>
                <wp:start x="0" y="0"/>
                <wp:lineTo x="0" y="21375"/>
                <wp:lineTo x="21467" y="21375"/>
                <wp:lineTo x="2146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086100" cy="2194560"/>
                    </a:xfrm>
                    <a:prstGeom prst="rect">
                      <a:avLst/>
                    </a:prstGeom>
                    <a:noFill/>
                    <a:ln>
                      <a:noFill/>
                    </a:ln>
                  </pic:spPr>
                </pic:pic>
              </a:graphicData>
            </a:graphic>
          </wp:anchor>
        </w:drawing>
      </w:r>
      <w:r>
        <w:rPr>
          <w:rFonts w:hint="eastAsia" w:eastAsia="仿宋_GB2312" w:cs="仿宋_GB2312"/>
          <w:color w:val="auto"/>
          <w:kern w:val="2"/>
          <w:sz w:val="32"/>
          <w:szCs w:val="32"/>
          <w:highlight w:val="none"/>
          <w:lang w:val="en-US" w:eastAsia="zh-CN" w:bidi="ar-SA"/>
        </w:rPr>
        <w:t xml:space="preserve">   </w:t>
      </w: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3.01</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83.6</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8.51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省计量院严格落实过紧日子的要求，压减“三公”经费支出。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专业技术车辆1辆、</w:t>
      </w:r>
      <w:r>
        <w:rPr>
          <w:rFonts w:hint="eastAsia" w:ascii="Times New Roman" w:hAnsi="Times New Roman" w:eastAsia="仿宋_GB2312" w:cs="仿宋_GB2312"/>
          <w:color w:val="auto"/>
          <w:kern w:val="2"/>
          <w:sz w:val="32"/>
          <w:szCs w:val="32"/>
          <w:highlight w:val="none"/>
          <w:lang w:val="en-US" w:eastAsia="zh-CN" w:bidi="ar-SA"/>
        </w:rPr>
        <w:t>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w:t>
      </w:r>
      <w:bookmarkStart w:id="81" w:name="_GoBack"/>
      <w:bookmarkEnd w:id="81"/>
      <w:r>
        <w:rPr>
          <w:rFonts w:hint="eastAsia" w:ascii="Times New Roman" w:hAnsi="Times New Roman" w:eastAsia="仿宋_GB2312" w:cs="仿宋_GB2312"/>
          <w:color w:val="auto"/>
          <w:kern w:val="2"/>
          <w:sz w:val="32"/>
          <w:szCs w:val="32"/>
          <w:highlight w:val="none"/>
          <w:lang w:val="en-US" w:eastAsia="zh-CN" w:bidi="ar-SA"/>
        </w:rPr>
        <w:t>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3.01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开</w:t>
      </w:r>
      <w:r>
        <w:rPr>
          <w:rFonts w:hint="eastAsia" w:ascii="Times New Roman" w:hAnsi="Times New Roman" w:eastAsia="仿宋_GB2312" w:cs="仿宋_GB2312"/>
          <w:color w:val="auto"/>
          <w:kern w:val="2"/>
          <w:sz w:val="32"/>
          <w:szCs w:val="32"/>
          <w:highlight w:val="none"/>
          <w:lang w:val="en-US" w:eastAsia="zh-CN" w:bidi="ar-SA"/>
        </w:rPr>
        <w:t>展</w:t>
      </w:r>
      <w:r>
        <w:rPr>
          <w:rFonts w:hint="eastAsia" w:eastAsia="仿宋_GB2312" w:cs="仿宋_GB2312"/>
          <w:color w:val="auto"/>
          <w:kern w:val="2"/>
          <w:sz w:val="32"/>
          <w:szCs w:val="32"/>
          <w:highlight w:val="none"/>
          <w:lang w:val="en-US" w:eastAsia="zh-CN" w:bidi="ar-SA"/>
        </w:rPr>
        <w:t>监督抽查</w:t>
      </w:r>
      <w:r>
        <w:rPr>
          <w:rFonts w:hint="eastAsia" w:ascii="Times New Roman" w:hAnsi="Times New Roman" w:eastAsia="仿宋_GB2312" w:cs="仿宋_GB2312"/>
          <w:color w:val="auto"/>
          <w:kern w:val="2"/>
          <w:sz w:val="32"/>
          <w:szCs w:val="32"/>
          <w:highlight w:val="none"/>
          <w:lang w:val="en-US" w:eastAsia="zh-CN" w:bidi="ar-SA"/>
        </w:rPr>
        <w:t>业务</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活动开支的所需的公务用车燃料费、维修费、过路过桥费、保险费等支出。</w:t>
      </w:r>
    </w:p>
    <w:p>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江苏省计量院、南充计量所、眉山计量所</w:t>
      </w:r>
      <w:r>
        <w:rPr>
          <w:rFonts w:hint="eastAsia" w:eastAsia="仿宋_GB2312" w:cs="仿宋_GB2312"/>
          <w:color w:val="0000FF"/>
          <w:kern w:val="2"/>
          <w:sz w:val="32"/>
          <w:szCs w:val="32"/>
          <w:highlight w:val="none"/>
          <w:lang w:val="en-US" w:eastAsia="zh-CN" w:bidi="ar-SA"/>
        </w:rPr>
        <w:t>（来我院</w:t>
      </w:r>
      <w:r>
        <w:rPr>
          <w:rFonts w:hint="eastAsia" w:ascii="Times New Roman" w:hAnsi="Times New Roman" w:eastAsia="仿宋_GB2312" w:cs="仿宋_GB2312"/>
          <w:color w:val="0000FF"/>
          <w:kern w:val="2"/>
          <w:sz w:val="32"/>
          <w:szCs w:val="32"/>
          <w:highlight w:val="none"/>
          <w:lang w:val="en-US" w:eastAsia="zh-CN" w:bidi="ar-SA"/>
        </w:rPr>
        <w:t>开展业务活动</w:t>
      </w:r>
      <w:r>
        <w:rPr>
          <w:rFonts w:hint="eastAsia" w:eastAsia="仿宋_GB2312" w:cs="仿宋_GB2312"/>
          <w:color w:val="0000FF"/>
          <w:kern w:val="2"/>
          <w:sz w:val="32"/>
          <w:szCs w:val="32"/>
          <w:highlight w:val="none"/>
          <w:lang w:val="en-US" w:eastAsia="zh-CN" w:bidi="ar-SA"/>
        </w:rPr>
        <w:t>调研开支的</w:t>
      </w:r>
      <w:r>
        <w:rPr>
          <w:rFonts w:hint="eastAsia" w:ascii="Times New Roman" w:hAnsi="Times New Roman" w:eastAsia="仿宋_GB2312" w:cs="仿宋_GB2312"/>
          <w:color w:val="0000FF"/>
          <w:kern w:val="2"/>
          <w:sz w:val="32"/>
          <w:szCs w:val="32"/>
          <w:highlight w:val="none"/>
          <w:lang w:val="en-US" w:eastAsia="zh-CN" w:bidi="ar-SA"/>
        </w:rPr>
        <w:t>餐费</w:t>
      </w:r>
      <w:r>
        <w:rPr>
          <w:rFonts w:hint="eastAsia" w:eastAsia="仿宋_GB2312" w:cs="仿宋_GB2312"/>
          <w:color w:val="0000FF"/>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。国内公务接待</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南充计量所</w:t>
      </w:r>
      <w:r>
        <w:rPr>
          <w:rFonts w:hint="eastAsia" w:eastAsia="仿宋_GB2312" w:cs="Times New Roman"/>
          <w:color w:val="auto"/>
          <w:sz w:val="32"/>
          <w:szCs w:val="32"/>
          <w:highlight w:val="none"/>
          <w:lang w:val="en-US" w:eastAsia="zh-CN"/>
        </w:rPr>
        <w:t>0.3488万元；江苏计量院0.121万元、眉山计量所0.12万元、成都市计量院0.0824万元等</w:t>
      </w:r>
      <w:r>
        <w:rPr>
          <w:rFonts w:hint="default" w:ascii="Times New Roman" w:hAnsi="Times New Roman" w:eastAsia="仿宋_GB2312" w:cs="Times New Roman"/>
          <w:color w:val="auto"/>
          <w:sz w:val="32"/>
          <w:szCs w:val="32"/>
          <w:highlight w:val="none"/>
          <w:lang w:val="en-US" w:eastAsia="zh-CN"/>
        </w:rPr>
        <w:t>省内外</w:t>
      </w:r>
      <w:r>
        <w:rPr>
          <w:rFonts w:hint="eastAsia"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en-US" w:eastAsia="zh-CN"/>
        </w:rPr>
        <w:t>行</w:t>
      </w:r>
      <w:r>
        <w:rPr>
          <w:rFonts w:hint="eastAsia" w:eastAsia="仿宋_GB2312" w:cs="Times New Roman"/>
          <w:color w:val="auto"/>
          <w:sz w:val="32"/>
          <w:szCs w:val="32"/>
          <w:highlight w:val="none"/>
          <w:lang w:val="en-US" w:eastAsia="zh-CN"/>
        </w:rPr>
        <w:t>业</w:t>
      </w:r>
      <w:r>
        <w:rPr>
          <w:rFonts w:hint="default" w:ascii="Times New Roman" w:hAnsi="Times New Roman" w:eastAsia="仿宋_GB2312" w:cs="Times New Roman"/>
          <w:color w:val="auto"/>
          <w:sz w:val="32"/>
          <w:szCs w:val="32"/>
          <w:highlight w:val="none"/>
          <w:lang w:val="en-US" w:eastAsia="zh-CN"/>
        </w:rPr>
        <w:t>院所的考察、调研学习等接待工作</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二重（德阳）重型装备有限公司</w:t>
      </w:r>
      <w:r>
        <w:rPr>
          <w:rFonts w:hint="eastAsia" w:eastAsia="仿宋_GB2312" w:cs="Times New Roman"/>
          <w:color w:val="auto"/>
          <w:sz w:val="32"/>
          <w:szCs w:val="32"/>
          <w:highlight w:val="none"/>
          <w:lang w:val="en-US" w:eastAsia="zh-CN"/>
        </w:rPr>
        <w:t>0.2118万元、四川天府检验检测有限公司0.116万元。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outlineLvl w:val="1"/>
        <w:rPr>
          <w:rStyle w:val="16"/>
          <w:rFonts w:ascii="Times New Roman" w:hAnsi="Times New Roman" w:eastAsia="黑体"/>
          <w:color w:val="auto"/>
          <w:highlight w:val="none"/>
        </w:rPr>
      </w:pPr>
      <w:bookmarkStart w:id="47" w:name="_Toc15377218"/>
      <w:bookmarkStart w:id="48" w:name="_Toc15396610"/>
      <w:bookmarkStart w:id="49" w:name="_Toc7113"/>
      <w:r>
        <w:rPr>
          <w:rFonts w:hint="eastAsia" w:ascii="Times New Roman" w:hAnsi="Times New Roman" w:eastAsia="黑体"/>
          <w:color w:val="auto"/>
          <w:sz w:val="32"/>
          <w:szCs w:val="32"/>
          <w:highlight w:val="none"/>
        </w:rPr>
        <w:t>八、</w:t>
      </w:r>
      <w:r>
        <w:rPr>
          <w:rStyle w:val="16"/>
          <w:rFonts w:hint="eastAsia" w:ascii="Times New Roman" w:hAnsi="Times New Roman" w:eastAsia="黑体"/>
          <w:b w:val="0"/>
          <w:color w:val="auto"/>
          <w:highlight w:val="none"/>
        </w:rPr>
        <w:t>政府性基金预算支出决算情况说明</w:t>
      </w:r>
      <w:bookmarkEnd w:id="47"/>
      <w:bookmarkEnd w:id="48"/>
      <w:bookmarkEnd w:id="49"/>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0"/>
        </w:numPr>
        <w:spacing w:line="600" w:lineRule="exact"/>
        <w:ind w:left="630" w:leftChars="0"/>
        <w:outlineLvl w:val="1"/>
        <w:rPr>
          <w:rStyle w:val="16"/>
          <w:rFonts w:ascii="Times New Roman" w:hAnsi="Times New Roman" w:eastAsia="黑体"/>
          <w:b w:val="0"/>
          <w:color w:val="auto"/>
          <w:highlight w:val="none"/>
        </w:rPr>
      </w:pPr>
      <w:bookmarkStart w:id="50" w:name="_Toc15377219"/>
      <w:bookmarkStart w:id="51" w:name="_Toc30972"/>
      <w:bookmarkStart w:id="52" w:name="_Toc15396611"/>
      <w:r>
        <w:rPr>
          <w:rStyle w:val="16"/>
          <w:rFonts w:hint="eastAsia" w:ascii="Times New Roman" w:hAnsi="Times New Roman" w:eastAsia="黑体"/>
          <w:b w:val="0"/>
          <w:color w:val="auto"/>
          <w:highlight w:val="none"/>
          <w:lang w:eastAsia="zh-CN"/>
        </w:rPr>
        <w:t>九、</w:t>
      </w:r>
      <w:r>
        <w:rPr>
          <w:rStyle w:val="16"/>
          <w:rFonts w:hint="eastAsia" w:ascii="Times New Roman" w:hAnsi="Times New Roman" w:eastAsia="黑体"/>
          <w:b w:val="0"/>
          <w:color w:val="auto"/>
          <w:highlight w:val="none"/>
        </w:rPr>
        <w:t>国有资本经营预算支出决算情况说明</w:t>
      </w:r>
      <w:bookmarkEnd w:id="50"/>
      <w:bookmarkEnd w:id="51"/>
      <w:bookmarkEnd w:id="52"/>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0"/>
        </w:numPr>
        <w:spacing w:line="600" w:lineRule="exact"/>
        <w:ind w:left="630" w:leftChars="0"/>
        <w:outlineLvl w:val="1"/>
        <w:rPr>
          <w:rStyle w:val="16"/>
          <w:rFonts w:hint="eastAsia" w:ascii="Times New Roman" w:hAnsi="Times New Roman" w:eastAsia="黑体"/>
          <w:b w:val="0"/>
          <w:color w:val="auto"/>
          <w:highlight w:val="none"/>
        </w:rPr>
      </w:pPr>
      <w:bookmarkStart w:id="53" w:name="_Toc15377221"/>
      <w:bookmarkStart w:id="54" w:name="_Toc15396612"/>
      <w:bookmarkStart w:id="55" w:name="_Toc31997"/>
      <w:r>
        <w:rPr>
          <w:rStyle w:val="16"/>
          <w:rFonts w:hint="eastAsia" w:ascii="Times New Roman" w:hAnsi="Times New Roman" w:eastAsia="黑体"/>
          <w:b w:val="0"/>
          <w:color w:val="auto"/>
          <w:highlight w:val="none"/>
          <w:lang w:eastAsia="zh-CN"/>
        </w:rPr>
        <w:t>十、</w:t>
      </w:r>
      <w:r>
        <w:rPr>
          <w:rStyle w:val="16"/>
          <w:rFonts w:hint="eastAsia" w:ascii="Times New Roman" w:hAnsi="Times New Roman" w:eastAsia="黑体"/>
          <w:b w:val="0"/>
          <w:color w:val="auto"/>
          <w:highlight w:val="none"/>
        </w:rPr>
        <w:t>其他重要事项的情况说明</w:t>
      </w:r>
      <w:bookmarkEnd w:id="53"/>
      <w:bookmarkEnd w:id="54"/>
      <w:bookmarkEnd w:id="5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2"/>
      <w:r>
        <w:rPr>
          <w:rFonts w:hint="eastAsia" w:ascii="Times New Roman" w:hAnsi="Times New Roman" w:eastAsia="楷体_GB2312" w:cs="楷体_GB2312"/>
          <w:b/>
          <w:color w:val="auto"/>
          <w:sz w:val="32"/>
          <w:szCs w:val="32"/>
          <w:highlight w:val="none"/>
        </w:rPr>
        <w:t>（一）机关运行经费支出情况</w:t>
      </w:r>
      <w:bookmarkEnd w:id="56"/>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机关运行经费支出 0 万元，与 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 xml:space="preserve"> 年相比无变化。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23"/>
      <w:r>
        <w:rPr>
          <w:rFonts w:hint="eastAsia" w:ascii="Times New Roman" w:hAnsi="Times New Roman" w:eastAsia="楷体_GB2312" w:cs="楷体_GB2312"/>
          <w:b/>
          <w:color w:val="auto"/>
          <w:sz w:val="32"/>
          <w:szCs w:val="32"/>
          <w:highlight w:val="none"/>
        </w:rPr>
        <w:t>（二）政府采购支出情况</w:t>
      </w:r>
      <w:bookmarkEnd w:id="57"/>
    </w:p>
    <w:p>
      <w:pPr>
        <w:spacing w:line="600" w:lineRule="exact"/>
        <w:ind w:firstLine="640"/>
        <w:rPr>
          <w:rFonts w:hint="eastAsia" w:ascii="Times New Roman" w:hAnsi="Times New Roman" w:eastAsia="仿宋_GB2312" w:cs="仿宋_GB2312"/>
          <w:color w:val="0000FF"/>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default" w:ascii="Times New Roman" w:hAnsi="Times New Roman" w:eastAsia="仿宋_GB2312" w:cs="Times New Roman"/>
          <w:color w:val="auto"/>
          <w:sz w:val="32"/>
          <w:szCs w:val="32"/>
          <w:highlight w:val="none"/>
          <w:lang w:val="en-US" w:eastAsia="zh-CN"/>
        </w:rPr>
        <w:t>省计量院</w:t>
      </w:r>
      <w:r>
        <w:rPr>
          <w:rFonts w:hint="default" w:ascii="Times New Roman" w:hAnsi="Times New Roman" w:eastAsia="仿宋_GB2312" w:cs="Times New Roman"/>
          <w:color w:val="auto"/>
          <w:sz w:val="32"/>
          <w:szCs w:val="32"/>
          <w:highlight w:val="none"/>
        </w:rPr>
        <w:t>政府采购支出总额</w:t>
      </w:r>
      <w:r>
        <w:rPr>
          <w:rFonts w:hint="eastAsia" w:eastAsia="仿宋_GB2312" w:cs="仿宋_GB2312"/>
          <w:color w:val="auto"/>
          <w:kern w:val="2"/>
          <w:sz w:val="32"/>
          <w:szCs w:val="32"/>
          <w:highlight w:val="none"/>
          <w:lang w:val="en-US" w:eastAsia="zh-CN" w:bidi="ar-SA"/>
        </w:rPr>
        <w:t>635.32</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635.32</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主要用于</w:t>
      </w:r>
      <w:r>
        <w:rPr>
          <w:rFonts w:hint="default" w:ascii="Times New Roman" w:hAnsi="Times New Roman" w:eastAsia="仿宋_GB2312" w:cs="Times New Roman"/>
          <w:color w:val="auto"/>
          <w:sz w:val="32"/>
          <w:szCs w:val="32"/>
          <w:highlight w:val="none"/>
          <w:lang w:val="en-US" w:eastAsia="zh-CN"/>
        </w:rPr>
        <w:t>计量能力提升</w:t>
      </w:r>
      <w:r>
        <w:rPr>
          <w:rFonts w:hint="eastAsia" w:eastAsia="仿宋_GB2312" w:cs="Times New Roman"/>
          <w:color w:val="auto"/>
          <w:sz w:val="32"/>
          <w:szCs w:val="32"/>
          <w:highlight w:val="none"/>
          <w:lang w:val="en-US" w:eastAsia="zh-CN"/>
        </w:rPr>
        <w:t>购置专用设备</w:t>
      </w:r>
      <w:r>
        <w:rPr>
          <w:rFonts w:hint="default" w:ascii="Times New Roman" w:hAnsi="Times New Roman" w:eastAsia="仿宋_GB2312" w:cs="Times New Roman"/>
          <w:color w:val="auto"/>
          <w:sz w:val="32"/>
          <w:szCs w:val="32"/>
          <w:highlight w:val="none"/>
        </w:rPr>
        <w:t>工作</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授予中小企业合同金额504.34万元，占政府采购支出总额的79.4%，其中：授予小微企业合同金额504.34万元，占政府采购支出总额的79.4%。</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4"/>
      <w:r>
        <w:rPr>
          <w:rFonts w:hint="eastAsia" w:ascii="Times New Roman" w:hAnsi="Times New Roman" w:eastAsia="楷体_GB2312" w:cs="楷体_GB2312"/>
          <w:b/>
          <w:color w:val="auto"/>
          <w:sz w:val="32"/>
          <w:szCs w:val="32"/>
          <w:highlight w:val="none"/>
        </w:rPr>
        <w:t>（三）国有资产占有使用情况</w:t>
      </w:r>
      <w:bookmarkEnd w:id="5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default" w:ascii="Times New Roman" w:hAnsi="Times New Roman" w:eastAsia="仿宋_GB2312" w:cs="Times New Roman"/>
          <w:color w:val="auto"/>
          <w:sz w:val="32"/>
          <w:szCs w:val="32"/>
          <w:highlight w:val="none"/>
          <w:lang w:val="en-US" w:eastAsia="zh-CN"/>
        </w:rPr>
        <w:t>省计量院</w:t>
      </w:r>
      <w:r>
        <w:rPr>
          <w:rFonts w:hint="default" w:ascii="Times New Roman" w:hAnsi="Times New Roman" w:eastAsia="仿宋_GB2312" w:cs="Times New Roman"/>
          <w:color w:val="auto"/>
          <w:sz w:val="32"/>
          <w:szCs w:val="32"/>
          <w:highlight w:val="none"/>
        </w:rPr>
        <w:t>共有</w:t>
      </w:r>
      <w:r>
        <w:rPr>
          <w:rFonts w:hint="eastAsia" w:ascii="Times New Roman" w:hAnsi="Times New Roman" w:eastAsia="仿宋_GB2312" w:cs="仿宋_GB2312"/>
          <w:color w:val="auto"/>
          <w:kern w:val="2"/>
          <w:sz w:val="32"/>
          <w:szCs w:val="32"/>
          <w:highlight w:val="none"/>
          <w:lang w:val="en-US" w:eastAsia="zh-CN" w:bidi="ar-SA"/>
        </w:rPr>
        <w:t>车辆</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辆，其他用车主要是用于</w:t>
      </w:r>
      <w:r>
        <w:rPr>
          <w:rFonts w:hint="eastAsia" w:eastAsia="仿宋_GB2312" w:cs="仿宋_GB2312"/>
          <w:color w:val="auto"/>
          <w:kern w:val="2"/>
          <w:sz w:val="32"/>
          <w:szCs w:val="32"/>
          <w:highlight w:val="none"/>
          <w:lang w:val="en-US" w:eastAsia="zh-CN" w:bidi="ar-SA"/>
        </w:rPr>
        <w:t>专业技术用车及开展业务用车。</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台（套）。</w:t>
      </w: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省计量院</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default" w:ascii="Times New Roman" w:hAnsi="Times New Roman" w:eastAsia="仿宋_GB2312" w:cs="Times New Roman"/>
          <w:color w:val="auto"/>
          <w:sz w:val="32"/>
          <w:szCs w:val="32"/>
          <w:highlight w:val="none"/>
          <w:lang w:eastAsia="zh-CN"/>
        </w:rPr>
        <w:t>2024年计量抽查项目、2024年产品质量监督抽查</w:t>
      </w:r>
      <w:r>
        <w:rPr>
          <w:rFonts w:hint="eastAsia" w:eastAsia="仿宋_GB2312" w:cs="Times New Roman"/>
          <w:color w:val="auto"/>
          <w:sz w:val="32"/>
          <w:szCs w:val="32"/>
          <w:highlight w:val="none"/>
          <w:lang w:eastAsia="zh-CN"/>
        </w:rPr>
        <w:t>、2024年省计量院运转保障项目、2024年机动车检验机构授权签字人继续教育培训及评估、检验检测机构“双随机、一公开”抽查项目、市场监管专项资金</w:t>
      </w:r>
      <w:r>
        <w:rPr>
          <w:rFonts w:hint="default" w:ascii="Times New Roman" w:hAnsi="Times New Roman" w:eastAsia="仿宋_GB2312" w:cs="Times New Roman"/>
          <w:color w:val="auto"/>
          <w:sz w:val="32"/>
          <w:szCs w:val="32"/>
          <w:highlight w:val="none"/>
          <w:lang w:eastAsia="zh-CN"/>
        </w:rPr>
        <w:t>等</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个</w:t>
      </w:r>
      <w:r>
        <w:rPr>
          <w:rFonts w:hint="eastAsia" w:ascii="Times New Roman" w:hAnsi="Times New Roman" w:eastAsia="仿宋_GB2312" w:cs="仿宋_GB2312"/>
          <w:color w:val="auto"/>
          <w:kern w:val="2"/>
          <w:sz w:val="32"/>
          <w:szCs w:val="32"/>
          <w:highlight w:val="none"/>
          <w:lang w:val="en-US" w:eastAsia="zh-CN" w:bidi="ar-SA"/>
        </w:rPr>
        <w:t>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9"/>
        <w:rPr>
          <w:rFonts w:hint="eastAsia" w:ascii="Times New Roman" w:hAnsi="Times New Roman" w:eastAsia="黑体"/>
          <w:color w:val="auto"/>
          <w:sz w:val="44"/>
          <w:szCs w:val="44"/>
          <w:highlight w:val="none"/>
        </w:rPr>
      </w:pPr>
      <w:bookmarkStart w:id="59" w:name="_Toc15396613"/>
      <w:bookmarkStart w:id="60" w:name="_Toc15377225"/>
    </w:p>
    <w:p>
      <w:pPr>
        <w:numPr>
          <w:ilvl w:val="0"/>
          <w:numId w:val="0"/>
        </w:numPr>
        <w:spacing w:line="600" w:lineRule="exact"/>
        <w:jc w:val="center"/>
        <w:outlineLvl w:val="9"/>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425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9"/>
      <w:bookmarkEnd w:id="60"/>
      <w:bookmarkEnd w:id="61"/>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6</w:t>
      </w:r>
      <w:r>
        <w:rPr>
          <w:rFonts w:hint="default" w:ascii="Times New Roman" w:hAnsi="Times New Roman" w:eastAsia="仿宋_GB2312" w:cs="Times New Roman"/>
          <w:i w:val="0"/>
          <w:iCs w:val="0"/>
          <w:caps w:val="0"/>
          <w:color w:val="auto"/>
          <w:spacing w:val="0"/>
          <w:sz w:val="31"/>
          <w:szCs w:val="31"/>
          <w:shd w:val="clear" w:fill="FFFFFF"/>
        </w:rPr>
        <w:t>.一般公共服务支出（类）市场监督管理事务（款）质量基础（项）：指反映计量、标准、认证认可、检验检测等质量基础专项工作支出。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7</w:t>
      </w:r>
      <w:r>
        <w:rPr>
          <w:rFonts w:hint="default" w:ascii="Times New Roman" w:hAnsi="Times New Roman" w:eastAsia="仿宋_GB2312" w:cs="Times New Roman"/>
          <w:i w:val="0"/>
          <w:iCs w:val="0"/>
          <w:caps w:val="0"/>
          <w:color w:val="auto"/>
          <w:spacing w:val="0"/>
          <w:sz w:val="31"/>
          <w:szCs w:val="31"/>
          <w:shd w:val="clear" w:fill="FFFFFF"/>
        </w:rPr>
        <w:t>.一般公共服务支出（类）市场监督管理事务（款）信息化建设（项）：指反映市场监督管理、药品监督管理部门用于信息化建设及运行维护方面的支出。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8</w:t>
      </w:r>
      <w:r>
        <w:rPr>
          <w:rFonts w:hint="default" w:ascii="Times New Roman" w:hAnsi="Times New Roman" w:eastAsia="仿宋_GB2312" w:cs="Times New Roman"/>
          <w:i w:val="0"/>
          <w:iCs w:val="0"/>
          <w:caps w:val="0"/>
          <w:color w:val="auto"/>
          <w:spacing w:val="0"/>
          <w:sz w:val="31"/>
          <w:szCs w:val="31"/>
          <w:shd w:val="clear" w:fill="FFFFFF"/>
        </w:rPr>
        <w:t>.一般公共服务支出（类）市场监督管理事务（款）其他市场监督管理事务（项）：指</w:t>
      </w:r>
      <w:r>
        <w:rPr>
          <w:rFonts w:hint="default" w:ascii="Times New Roman" w:hAnsi="Times New Roman" w:eastAsia="仿宋_GB2312" w:cs="Times New Roman"/>
          <w:i w:val="0"/>
          <w:iCs w:val="0"/>
          <w:caps w:val="0"/>
          <w:color w:val="auto"/>
          <w:spacing w:val="0"/>
          <w:sz w:val="31"/>
          <w:szCs w:val="31"/>
          <w:shd w:val="clear" w:fill="FFFFFF"/>
          <w:lang w:eastAsia="zh-CN"/>
        </w:rPr>
        <w:t>反映上述</w:t>
      </w:r>
      <w:r>
        <w:rPr>
          <w:rFonts w:hint="default" w:ascii="Times New Roman" w:hAnsi="Times New Roman" w:eastAsia="仿宋_GB2312" w:cs="Times New Roman"/>
          <w:i w:val="0"/>
          <w:iCs w:val="0"/>
          <w:caps w:val="0"/>
          <w:color w:val="auto"/>
          <w:spacing w:val="0"/>
          <w:sz w:val="31"/>
          <w:szCs w:val="31"/>
          <w:shd w:val="clear" w:fill="FFFFFF"/>
        </w:rPr>
        <w:t>项目以外的其他市场监督管理事务方面的支出。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9</w:t>
      </w:r>
      <w:r>
        <w:rPr>
          <w:rFonts w:hint="default" w:ascii="Times New Roman" w:hAnsi="Times New Roman" w:eastAsia="仿宋_GB2312" w:cs="Times New Roman"/>
          <w:i w:val="0"/>
          <w:iCs w:val="0"/>
          <w:caps w:val="0"/>
          <w:color w:val="auto"/>
          <w:spacing w:val="0"/>
          <w:sz w:val="31"/>
          <w:szCs w:val="31"/>
          <w:shd w:val="clear" w:fill="FFFFFF"/>
        </w:rPr>
        <w:t>.教育支出（类）进修及培训（款）培训支出（项）：指反映各部门安排的用于培训的支出。教育部门的师资培训，党校、行政学院等专业干部教育机构的支出，以及退役士兵、转业士官的培训支出，不在本科目反映。</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10</w:t>
      </w:r>
      <w:r>
        <w:rPr>
          <w:rFonts w:hint="default" w:ascii="Times New Roman" w:hAnsi="Times New Roman" w:eastAsia="仿宋_GB2312" w:cs="Times New Roman"/>
          <w:i w:val="0"/>
          <w:iCs w:val="0"/>
          <w:caps w:val="0"/>
          <w:color w:val="auto"/>
          <w:spacing w:val="0"/>
          <w:sz w:val="31"/>
          <w:szCs w:val="31"/>
          <w:shd w:val="clear" w:fill="FFFFFF"/>
        </w:rPr>
        <w:t>.科学技术支出（类）其他科学技术支出（款）其他科学技术支出（项）：指反映其他科学技术支出中除以上各项外用于科技方面的支出。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11</w:t>
      </w:r>
      <w:r>
        <w:rPr>
          <w:rFonts w:hint="default" w:ascii="Times New Roman" w:hAnsi="Times New Roman" w:eastAsia="仿宋_GB2312" w:cs="Times New Roman"/>
          <w:i w:val="0"/>
          <w:iCs w:val="0"/>
          <w:caps w:val="0"/>
          <w:color w:val="auto"/>
          <w:spacing w:val="0"/>
          <w:sz w:val="31"/>
          <w:szCs w:val="31"/>
          <w:shd w:val="clear" w:fill="FFFFFF"/>
        </w:rPr>
        <w:t>.社会保障和就业支出（类）行政事业单位养老支出（款）机关事业单位基本养老保险缴费支出（项）：指反映机关事业单位实施养老保险制度由单位缴纳的基本养老保险费支出。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12</w:t>
      </w:r>
      <w:r>
        <w:rPr>
          <w:rFonts w:hint="default" w:ascii="Times New Roman" w:hAnsi="Times New Roman" w:eastAsia="仿宋_GB2312" w:cs="Times New Roman"/>
          <w:i w:val="0"/>
          <w:iCs w:val="0"/>
          <w:caps w:val="0"/>
          <w:color w:val="auto"/>
          <w:spacing w:val="0"/>
          <w:sz w:val="31"/>
          <w:szCs w:val="31"/>
          <w:shd w:val="clear" w:fill="FFFFFF"/>
        </w:rPr>
        <w:t>.社会保障和就业支出（类）行政事业单位养老支出（款）机关事业单位职业年金缴费支出（项）：指反映机关事业单位实施养老保险制度由单位实际缴纳的职业年金支出。</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13</w:t>
      </w:r>
      <w:r>
        <w:rPr>
          <w:rFonts w:hint="default" w:ascii="Times New Roman" w:hAnsi="Times New Roman" w:eastAsia="仿宋_GB2312" w:cs="Times New Roman"/>
          <w:i w:val="0"/>
          <w:iCs w:val="0"/>
          <w:caps w:val="0"/>
          <w:color w:val="auto"/>
          <w:spacing w:val="0"/>
          <w:sz w:val="31"/>
          <w:szCs w:val="31"/>
          <w:shd w:val="clear" w:fill="FFFFFF"/>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14</w:t>
      </w:r>
      <w:r>
        <w:rPr>
          <w:rFonts w:hint="default" w:ascii="Times New Roman" w:hAnsi="Times New Roman" w:eastAsia="仿宋_GB2312" w:cs="Times New Roman"/>
          <w:i w:val="0"/>
          <w:iCs w:val="0"/>
          <w:caps w:val="0"/>
          <w:color w:val="auto"/>
          <w:spacing w:val="0"/>
          <w:sz w:val="31"/>
          <w:szCs w:val="31"/>
          <w:shd w:val="clear" w:fill="FFFFFF"/>
        </w:rPr>
        <w:t>.住房保障支出（类）住房改革支出（款）住房公积金（项）：指反映行政事业单位按人力资源和社会保障部、财政部规定的基本工资和津贴补贴以及规定比例为职工缴纳的住房公积金。</w:t>
      </w:r>
    </w:p>
    <w:p>
      <w:pPr>
        <w:pStyle w:val="11"/>
        <w:keepNext w:val="0"/>
        <w:keepLines w:val="0"/>
        <w:widowControl/>
        <w:suppressLineNumbers w:val="0"/>
        <w:shd w:val="clear" w:fill="FFFFFF"/>
        <w:spacing w:before="0" w:beforeAutospacing="0" w:after="0" w:afterAutospacing="0" w:line="31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15</w:t>
      </w:r>
      <w:r>
        <w:rPr>
          <w:rFonts w:hint="default" w:ascii="Times New Roman" w:hAnsi="Times New Roman" w:eastAsia="仿宋_GB2312" w:cs="Times New Roman"/>
          <w:i w:val="0"/>
          <w:iCs w:val="0"/>
          <w:caps w:val="0"/>
          <w:color w:val="auto"/>
          <w:spacing w:val="0"/>
          <w:sz w:val="31"/>
          <w:szCs w:val="31"/>
          <w:shd w:val="clear" w:fill="FFFFFF"/>
        </w:rPr>
        <w:t>.基本支出：指为保障机构正常运转、完成日常工作任务而发生的人员支出和公用支出。</w:t>
      </w:r>
    </w:p>
    <w:p>
      <w:pPr>
        <w:pStyle w:val="11"/>
        <w:keepNext w:val="0"/>
        <w:keepLines w:val="0"/>
        <w:widowControl/>
        <w:suppressLineNumbers w:val="0"/>
        <w:shd w:val="clear" w:fill="FFFFFF"/>
        <w:spacing w:before="0" w:beforeAutospacing="0" w:after="0" w:afterAutospacing="0"/>
        <w:ind w:left="0" w:right="0" w:firstLine="645"/>
        <w:jc w:val="left"/>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1"/>
          <w:szCs w:val="31"/>
          <w:shd w:val="clear" w:fill="FFFFFF"/>
          <w:lang w:val="en-US" w:eastAsia="zh-CN"/>
        </w:rPr>
        <w:t>16</w:t>
      </w:r>
      <w:r>
        <w:rPr>
          <w:rFonts w:hint="default" w:ascii="Times New Roman" w:hAnsi="Times New Roman" w:eastAsia="仿宋_GB2312" w:cs="Times New Roman"/>
          <w:i w:val="0"/>
          <w:iCs w:val="0"/>
          <w:caps w:val="0"/>
          <w:color w:val="333333"/>
          <w:spacing w:val="0"/>
          <w:sz w:val="31"/>
          <w:szCs w:val="31"/>
          <w:shd w:val="clear" w:fill="FFFFFF"/>
        </w:rPr>
        <w:t>.项目支出：指在基本支出之外为完成特定行政任务和事业发展目标所发生的支出。</w:t>
      </w:r>
    </w:p>
    <w:p>
      <w:pPr>
        <w:pStyle w:val="11"/>
        <w:keepNext w:val="0"/>
        <w:keepLines w:val="0"/>
        <w:widowControl/>
        <w:suppressLineNumbers w:val="0"/>
        <w:shd w:val="clear" w:fill="FFFFFF"/>
        <w:spacing w:before="0" w:beforeAutospacing="0" w:after="0" w:afterAutospacing="0" w:line="555" w:lineRule="atLeast"/>
        <w:ind w:left="0" w:right="0" w:firstLine="645"/>
        <w:jc w:val="both"/>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仿宋_GB2312" w:cs="Times New Roman"/>
          <w:i w:val="0"/>
          <w:iCs w:val="0"/>
          <w:caps w:val="0"/>
          <w:color w:val="auto"/>
          <w:spacing w:val="0"/>
          <w:sz w:val="31"/>
          <w:szCs w:val="31"/>
          <w:shd w:val="clear" w:fill="FFFFFF"/>
          <w:lang w:val="en-US" w:eastAsia="zh-CN"/>
        </w:rPr>
        <w:t>17</w:t>
      </w:r>
      <w:r>
        <w:rPr>
          <w:rFonts w:hint="default" w:ascii="Times New Roman" w:hAnsi="Times New Roman" w:eastAsia="仿宋_GB2312" w:cs="Times New Roman"/>
          <w:i w:val="0"/>
          <w:iCs w:val="0"/>
          <w:caps w:val="0"/>
          <w:color w:val="auto"/>
          <w:spacing w:val="0"/>
          <w:sz w:val="31"/>
          <w:szCs w:val="31"/>
          <w:shd w:val="clear" w:fill="FFFFFF"/>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1"/>
        <w:keepNext w:val="0"/>
        <w:keepLines w:val="0"/>
        <w:widowControl/>
        <w:suppressLineNumbers w:val="0"/>
        <w:shd w:val="clear" w:fill="FFFFFF"/>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1"/>
          <w:szCs w:val="31"/>
          <w:shd w:val="clear" w:fill="FFFFFF"/>
          <w:lang w:val="en-US" w:eastAsia="zh-CN"/>
        </w:rPr>
      </w:pPr>
      <w:r>
        <w:rPr>
          <w:rFonts w:hint="default" w:ascii="Times New Roman" w:hAnsi="Times New Roman" w:eastAsia="仿宋_GB2312" w:cs="Times New Roman"/>
          <w:i w:val="0"/>
          <w:iCs w:val="0"/>
          <w:caps w:val="0"/>
          <w:color w:val="auto"/>
          <w:spacing w:val="0"/>
          <w:sz w:val="31"/>
          <w:szCs w:val="31"/>
          <w:shd w:val="clear" w:fill="FFFFFF"/>
          <w:lang w:val="en-US" w:eastAsia="zh-CN"/>
        </w:rPr>
        <w:t>18.</w:t>
      </w:r>
      <w:r>
        <w:rPr>
          <w:rFonts w:hint="default" w:ascii="Times New Roman" w:hAnsi="Times New Roman" w:eastAsia="仿宋_GB2312" w:cs="Times New Roman"/>
          <w:i w:val="0"/>
          <w:iCs w:val="0"/>
          <w:caps w:val="0"/>
          <w:color w:val="auto"/>
          <w:spacing w:val="0"/>
          <w:sz w:val="31"/>
          <w:szCs w:val="31"/>
          <w:shd w:val="clear" w:fill="FFFFFF"/>
        </w:rPr>
        <w:t>一般公共服务（类）市场监督管理事务（款）市场主体管理（项）：指</w:t>
      </w:r>
      <w:r>
        <w:rPr>
          <w:rFonts w:hint="default" w:ascii="Times New Roman" w:hAnsi="Times New Roman" w:eastAsia="仿宋_GB2312" w:cs="Times New Roman"/>
          <w:i w:val="0"/>
          <w:iCs w:val="0"/>
          <w:caps w:val="0"/>
          <w:color w:val="auto"/>
          <w:spacing w:val="0"/>
          <w:sz w:val="31"/>
          <w:szCs w:val="31"/>
          <w:shd w:val="clear" w:fill="FFFFFF"/>
          <w:lang w:eastAsia="zh-CN"/>
        </w:rPr>
        <w:t>市场准入</w:t>
      </w:r>
      <w:r>
        <w:rPr>
          <w:rFonts w:hint="default" w:ascii="Times New Roman" w:hAnsi="Times New Roman" w:eastAsia="仿宋_GB2312" w:cs="Times New Roman"/>
          <w:i w:val="0"/>
          <w:iCs w:val="0"/>
          <w:caps w:val="0"/>
          <w:color w:val="auto"/>
          <w:spacing w:val="0"/>
          <w:sz w:val="31"/>
          <w:szCs w:val="31"/>
          <w:shd w:val="clear" w:fill="FFFFFF"/>
        </w:rPr>
        <w:t>、许可审批、信用监管等市场主体管理专项工作支出</w:t>
      </w:r>
      <w:r>
        <w:rPr>
          <w:rFonts w:hint="default" w:ascii="Times New Roman" w:hAnsi="Times New Roman" w:eastAsia="仿宋_GB2312" w:cs="Times New Roman"/>
          <w:i w:val="0"/>
          <w:iCs w:val="0"/>
          <w:caps w:val="0"/>
          <w:color w:val="auto"/>
          <w:spacing w:val="0"/>
          <w:sz w:val="31"/>
          <w:szCs w:val="31"/>
          <w:shd w:val="clear" w:fill="FFFFFF"/>
          <w:lang w:val="en-US" w:eastAsia="zh-CN"/>
        </w:rPr>
        <w:t>。</w:t>
      </w:r>
    </w:p>
    <w:p>
      <w:pPr>
        <w:ind w:firstLine="620" w:firstLineChars="200"/>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pPr>
      <w:r>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t>19.一般公共服务（类）市场监督管理事务（款）质量基础（项）：指计量、标准、认证认可、检验检测等质量基础专项工作支出。</w:t>
      </w:r>
    </w:p>
    <w:p>
      <w:pPr>
        <w:ind w:firstLine="620" w:firstLineChars="200"/>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pPr>
      <w:r>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t>20.一般公共服务（类）市场监督管理事务（款）质量安全监管（项）：指产品质量安全监管、特种设备安全监管等质量监管专项工作支出。</w:t>
      </w:r>
    </w:p>
    <w:p>
      <w:pPr>
        <w:ind w:firstLine="620" w:firstLineChars="200"/>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pPr>
      <w:r>
        <w:rPr>
          <w:rFonts w:hint="default" w:ascii="Times New Roman" w:hAnsi="Times New Roman" w:eastAsia="仿宋_GB2312" w:cs="Times New Roman"/>
          <w:i w:val="0"/>
          <w:iCs w:val="0"/>
          <w:caps w:val="0"/>
          <w:color w:val="auto"/>
          <w:spacing w:val="0"/>
          <w:kern w:val="0"/>
          <w:sz w:val="31"/>
          <w:szCs w:val="31"/>
          <w:shd w:val="clear" w:fill="FFFFFF"/>
          <w:lang w:val="en-US" w:eastAsia="zh-CN" w:bidi="ar"/>
        </w:rPr>
        <w:t>21.科学技术（类）其他科学技术支出（款）其他科学技术支出（项）：指反映其他科学技术支出中除以上各项外用于科技方面的支出。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5"/>
          <w:rFonts w:hint="eastAsia" w:ascii="Times New Roman" w:hAnsi="Times New Roman" w:eastAsia="黑体"/>
          <w:b w:val="0"/>
          <w:color w:val="auto"/>
          <w:highlight w:val="none"/>
          <w:lang w:eastAsia="zh-CN"/>
        </w:rPr>
      </w:pPr>
      <w:bookmarkStart w:id="6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3" w:name="_Toc24454"/>
      <w:bookmarkStart w:id="6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3"/>
      <w:bookmarkEnd w:id="64"/>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5" w:name="_Toc23393"/>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5"/>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单位预算项目支出绩效自评表（202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年度）</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none"/>
          <w:lang w:val="zh-CN" w:eastAsia="zh-CN"/>
        </w:rPr>
      </w:pPr>
    </w:p>
    <w:p>
      <w:pPr>
        <w:pStyle w:val="7"/>
        <w:rPr>
          <w:rFonts w:hint="eastAsia" w:ascii="Times New Roman" w:hAnsi="Times New Roman" w:cs="宋体"/>
          <w:color w:val="FF0000"/>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6" w:name="_Toc15396618"/>
    </w:p>
    <w:p>
      <w:pPr>
        <w:widowControl/>
        <w:jc w:val="center"/>
        <w:outlineLvl w:val="0"/>
        <w:rPr>
          <w:rFonts w:hint="eastAsia" w:ascii="Times New Roman" w:hAnsi="Times New Roman" w:eastAsia="仿宋"/>
          <w:b w:val="0"/>
          <w:color w:val="auto"/>
          <w:highlight w:val="none"/>
        </w:rPr>
      </w:pPr>
      <w:bookmarkStart w:id="67" w:name="_Toc23613"/>
      <w:r>
        <w:rPr>
          <w:rFonts w:hint="eastAsia" w:ascii="Times New Roman" w:hAnsi="Times New Roman" w:eastAsia="黑体"/>
          <w:color w:val="auto"/>
          <w:sz w:val="44"/>
          <w:szCs w:val="44"/>
          <w:highlight w:val="none"/>
        </w:rPr>
        <w:t>第</w:t>
      </w:r>
      <w:r>
        <w:rPr>
          <w:rStyle w:val="15"/>
          <w:rFonts w:hint="eastAsia" w:ascii="Times New Roman" w:hAnsi="Times New Roman" w:eastAsia="黑体"/>
          <w:b w:val="0"/>
          <w:color w:val="auto"/>
          <w:highlight w:val="none"/>
        </w:rPr>
        <w:t>五部分 附表</w:t>
      </w:r>
      <w:bookmarkEnd w:id="62"/>
      <w:bookmarkEnd w:id="66"/>
      <w:bookmarkEnd w:id="67"/>
      <w:bookmarkStart w:id="68" w:name="_Toc15396619"/>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8"/>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0"/>
      <w:r>
        <w:rPr>
          <w:rFonts w:hint="eastAsia" w:ascii="Times New Roman" w:hAnsi="Times New Roman" w:eastAsia="仿宋_GB2312" w:cs="仿宋_GB2312"/>
          <w:color w:val="auto"/>
          <w:sz w:val="32"/>
          <w:szCs w:val="32"/>
          <w:highlight w:val="none"/>
        </w:rPr>
        <w:t>二、收入决算表</w:t>
      </w:r>
      <w:bookmarkEnd w:id="69"/>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1"/>
      <w:r>
        <w:rPr>
          <w:rFonts w:hint="eastAsia" w:ascii="Times New Roman" w:hAnsi="Times New Roman" w:eastAsia="仿宋_GB2312" w:cs="仿宋_GB2312"/>
          <w:color w:val="auto"/>
          <w:sz w:val="32"/>
          <w:szCs w:val="32"/>
          <w:highlight w:val="none"/>
        </w:rPr>
        <w:t>三、支出决算表</w:t>
      </w:r>
      <w:bookmarkEnd w:id="70"/>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2"/>
      <w:r>
        <w:rPr>
          <w:rFonts w:hint="eastAsia" w:ascii="Times New Roman" w:hAnsi="Times New Roman" w:eastAsia="仿宋_GB2312" w:cs="仿宋_GB2312"/>
          <w:color w:val="auto"/>
          <w:sz w:val="32"/>
          <w:szCs w:val="32"/>
          <w:highlight w:val="none"/>
        </w:rPr>
        <w:t>四、财政拨款收入支出决算总表</w:t>
      </w:r>
      <w:bookmarkEnd w:id="71"/>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2"/>
      <w:bookmarkStart w:id="73" w:name="_Toc15396624"/>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3"/>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5"/>
      <w:r>
        <w:rPr>
          <w:rFonts w:hint="eastAsia" w:ascii="Times New Roman" w:hAnsi="Times New Roman" w:eastAsia="仿宋_GB2312" w:cs="仿宋_GB2312"/>
          <w:color w:val="auto"/>
          <w:sz w:val="32"/>
          <w:szCs w:val="32"/>
          <w:highlight w:val="none"/>
        </w:rPr>
        <w:t>七、一般公共预算财政拨款支出决算明细表</w:t>
      </w:r>
      <w:bookmarkEnd w:id="74"/>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6"/>
      <w:r>
        <w:rPr>
          <w:rFonts w:hint="eastAsia" w:ascii="Times New Roman" w:hAnsi="Times New Roman" w:eastAsia="仿宋_GB2312" w:cs="仿宋_GB2312"/>
          <w:color w:val="auto"/>
          <w:sz w:val="32"/>
          <w:szCs w:val="32"/>
          <w:highlight w:val="none"/>
        </w:rPr>
        <w:t>八、一般公共预算财政拨款基本支出决算表</w:t>
      </w:r>
      <w:bookmarkEnd w:id="75"/>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7"/>
      <w:r>
        <w:rPr>
          <w:rFonts w:hint="eastAsia" w:ascii="Times New Roman" w:hAnsi="Times New Roman" w:eastAsia="仿宋_GB2312" w:cs="仿宋_GB2312"/>
          <w:color w:val="auto"/>
          <w:sz w:val="32"/>
          <w:szCs w:val="32"/>
          <w:highlight w:val="none"/>
        </w:rPr>
        <w:t>九、一般公共预算财政拨款项目支出决算表</w:t>
      </w:r>
      <w:bookmarkEnd w:id="76"/>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8"/>
      <w:r>
        <w:rPr>
          <w:rFonts w:hint="eastAsia" w:ascii="Times New Roman" w:hAnsi="Times New Roman" w:eastAsia="仿宋_GB2312" w:cs="仿宋_GB2312"/>
          <w:color w:val="auto"/>
          <w:sz w:val="32"/>
          <w:szCs w:val="32"/>
          <w:highlight w:val="none"/>
        </w:rPr>
        <w:t>十、</w:t>
      </w:r>
      <w:bookmarkEnd w:id="77"/>
      <w:r>
        <w:rPr>
          <w:rFonts w:hint="eastAsia" w:ascii="Times New Roman" w:hAnsi="Times New Roman" w:eastAsia="仿宋_GB2312" w:cs="仿宋_GB2312"/>
          <w:color w:val="auto"/>
          <w:sz w:val="32"/>
          <w:szCs w:val="32"/>
          <w:highlight w:val="none"/>
        </w:rPr>
        <w:t>政府性基金预算财政拨款收入支出决算表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9"/>
      <w:r>
        <w:rPr>
          <w:rFonts w:hint="eastAsia" w:ascii="Times New Roman" w:hAnsi="Times New Roman" w:eastAsia="仿宋_GB2312" w:cs="仿宋_GB2312"/>
          <w:color w:val="auto"/>
          <w:sz w:val="32"/>
          <w:szCs w:val="32"/>
          <w:highlight w:val="none"/>
        </w:rPr>
        <w:t>十一、</w:t>
      </w:r>
      <w:bookmarkEnd w:id="7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30"/>
      <w:r>
        <w:rPr>
          <w:rFonts w:hint="eastAsia" w:ascii="Times New Roman" w:hAnsi="Times New Roman" w:eastAsia="仿宋_GB2312" w:cs="仿宋_GB2312"/>
          <w:color w:val="auto"/>
          <w:sz w:val="32"/>
          <w:szCs w:val="32"/>
          <w:highlight w:val="none"/>
        </w:rPr>
        <w:t>十二、</w:t>
      </w:r>
      <w:bookmarkEnd w:id="7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0" w:name="_Toc15396631"/>
      <w:r>
        <w:rPr>
          <w:rFonts w:hint="eastAsia" w:ascii="Times New Roman" w:hAnsi="Times New Roman" w:eastAsia="仿宋_GB2312" w:cs="仿宋_GB2312"/>
          <w:color w:val="auto"/>
          <w:sz w:val="32"/>
          <w:szCs w:val="32"/>
          <w:highlight w:val="none"/>
        </w:rPr>
        <w:t>十三、</w:t>
      </w:r>
      <w:bookmarkEnd w:id="8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highlight w:val="none"/>
          <w:lang w:eastAsia="zh-CN"/>
        </w:rPr>
      </w:pPr>
    </w:p>
    <w:p/>
    <w:p/>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EE347"/>
    <w:multiLevelType w:val="singleLevel"/>
    <w:tmpl w:val="2ADEE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719D2"/>
    <w:rsid w:val="09DC0901"/>
    <w:rsid w:val="0E0532ED"/>
    <w:rsid w:val="1F4B4B2F"/>
    <w:rsid w:val="2AA94F3D"/>
    <w:rsid w:val="32022ADC"/>
    <w:rsid w:val="35F3307E"/>
    <w:rsid w:val="37744736"/>
    <w:rsid w:val="41063349"/>
    <w:rsid w:val="709D2CC2"/>
    <w:rsid w:val="78EB757A"/>
    <w:rsid w:val="7A462DB8"/>
    <w:rsid w:val="7CCA2D74"/>
    <w:rsid w:val="7F0E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99"/>
    <w:rPr>
      <w:b/>
    </w:rPr>
  </w:style>
  <w:style w:type="character" w:customStyle="1" w:styleId="15">
    <w:name w:val="标题 1 Char"/>
    <w:basedOn w:val="13"/>
    <w:link w:val="5"/>
    <w:qFormat/>
    <w:uiPriority w:val="9"/>
    <w:rPr>
      <w:b/>
      <w:bCs/>
      <w:kern w:val="44"/>
      <w:sz w:val="44"/>
      <w:szCs w:val="44"/>
    </w:rPr>
  </w:style>
  <w:style w:type="character" w:customStyle="1" w:styleId="16">
    <w:name w:val="标题 2 Char"/>
    <w:basedOn w:val="13"/>
    <w:link w:val="6"/>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2866</Words>
  <Characters>3241</Characters>
  <Lines>0</Lines>
  <Paragraphs>0</Paragraphs>
  <TotalTime>5</TotalTime>
  <ScaleCrop>false</ScaleCrop>
  <LinksUpToDate>false</LinksUpToDate>
  <CharactersWithSpaces>3359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2025-08-28T06:01:00Z</dcterms:created>
  <dc:creator>hp-pc</dc:creator>
  <cp:lastModifiedBy>大小大</cp:lastModifiedBy>
  <dcterms:modified xsi:type="dcterms:W3CDTF">2025-09-04T08:26:31Z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eyJoZGlkIjoiODM5ZTk5ZWY5ODY2ODg0ZDk2Yjg0ZThkZjcwZGZkYjYiLCJ1c2VySWQiOiI0MzUzNTg4MDgifQ==</vt:lpwstr>
  </property>
  <property fmtid="{D5CDD505-2E9C-101B-9397-08002B2CF9AE}" pid="4" name="ICV">
    <vt:lpwstr>1C816FF70EEC4CA2AC95CFABCCC0C6BF_13</vt:lpwstr>
  </property>
</Properties>
</file>