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hint="eastAsia" w:ascii="黑体" w:hAnsi="黑体" w:eastAsia="黑体" w:cs="黑体"/>
          <w:color w:val="auto"/>
          <w:kern w:val="2"/>
          <w:sz w:val="32"/>
          <w:szCs w:val="32"/>
          <w:highlight w:val="none"/>
          <w:lang w:val="en-US" w:eastAsia="zh-CN" w:bidi="ar-SA"/>
        </w:rPr>
      </w:pPr>
      <w:bookmarkStart w:id="0" w:name="_Toc15377193"/>
      <w:bookmarkStart w:id="1" w:name="_Toc15396597"/>
      <w:bookmarkStart w:id="2" w:name="_Toc15396475"/>
      <w:bookmarkStart w:id="3" w:name="_Toc15377425"/>
      <w:bookmarkStart w:id="4" w:name="_Toc15378441"/>
      <w:bookmarkStart w:id="5" w:name="_Toc15306267"/>
      <w:r>
        <w:rPr>
          <w:rFonts w:hint="eastAsia" w:ascii="黑体" w:hAnsi="黑体" w:eastAsia="黑体" w:cs="黑体"/>
          <w:color w:val="auto"/>
          <w:kern w:val="2"/>
          <w:sz w:val="32"/>
          <w:szCs w:val="32"/>
          <w:highlight w:val="none"/>
          <w:lang w:val="en-US" w:eastAsia="zh-CN" w:bidi="ar-SA"/>
        </w:rPr>
        <w:t>附件4</w:t>
      </w:r>
    </w:p>
    <w:p>
      <w:pPr>
        <w:rPr>
          <w:rFonts w:ascii="Times New Roman" w:hAnsi="Times New Roman"/>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pPr>
        <w:pStyle w:val="8"/>
        <w:jc w:val="center"/>
        <w:rPr>
          <w:rFonts w:hint="eastAsia" w:ascii="Times New Roman" w:eastAsia="方正小标宋简体" w:cs="Times New Roman"/>
          <w:color w:val="auto"/>
          <w:kern w:val="2"/>
          <w:sz w:val="44"/>
          <w:szCs w:val="44"/>
          <w:highlight w:val="none"/>
          <w:lang w:val="en-US" w:eastAsia="zh-CN" w:bidi="ar-SA"/>
        </w:rPr>
      </w:pPr>
      <w:bookmarkStart w:id="6" w:name="_Toc15396476"/>
      <w:bookmarkStart w:id="7" w:name="_Toc15377194"/>
      <w:bookmarkStart w:id="8" w:name="_Toc15377426"/>
      <w:bookmarkStart w:id="9" w:name="_Toc15396598"/>
      <w:bookmarkStart w:id="10" w:name="_Toc15378442"/>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产业计量测试研究院</w:t>
      </w: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（注：</w:t>
      </w:r>
      <w:r>
        <w:rPr>
          <w:rFonts w:hint="eastAsia" w:eastAsia="仿宋_GB2312" w:cs="仿宋_GB2312"/>
          <w:color w:val="auto"/>
          <w:sz w:val="32"/>
          <w:szCs w:val="32"/>
          <w:highlight w:val="none"/>
          <w:lang w:val="en-US" w:eastAsia="zh-CN"/>
        </w:rPr>
        <w:t>以下为单位公开范本。单位公开内容应参照部门公开内容和报表格式，并与部门公开内容做好衔接，正式文件请删除该括号内容）</w:t>
      </w:r>
    </w:p>
    <w:p>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18</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概况</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eastAsia="zh-CN"/>
        </w:rPr>
        <w:t>单位</w:t>
      </w:r>
      <w:r>
        <w:rPr>
          <w:rFonts w:hint="eastAsia" w:ascii="Times New Roman" w:hAnsi="Times New Roman" w:eastAsia="仿宋_GB2312" w:cs="仿宋_GB2312"/>
          <w:color w:val="auto"/>
          <w:sz w:val="32"/>
          <w:szCs w:val="32"/>
          <w:highlight w:val="none"/>
          <w:lang w:eastAsia="zh-CN"/>
        </w:rPr>
        <w:t>职责</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w:t>
      </w:r>
      <w:r>
        <w:rPr>
          <w:rFonts w:hint="eastAsia" w:eastAsia="仿宋_GB2312" w:cs="仿宋_GB2312"/>
          <w:b/>
          <w:bCs/>
          <w:color w:val="auto"/>
          <w:sz w:val="32"/>
          <w:szCs w:val="32"/>
          <w:highlight w:val="none"/>
          <w:lang w:eastAsia="zh-CN"/>
        </w:rPr>
        <w:t>单位</w:t>
      </w:r>
      <w:r>
        <w:rPr>
          <w:rFonts w:hint="eastAsia" w:ascii="Times New Roman" w:hAnsi="Times New Roman" w:eastAsia="仿宋_GB2312" w:cs="仿宋_GB2312"/>
          <w:b/>
          <w:bCs/>
          <w:color w:val="auto"/>
          <w:sz w:val="32"/>
          <w:szCs w:val="32"/>
          <w:highlight w:val="none"/>
        </w:rPr>
        <w:t>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77196"/>
      <w:bookmarkStart w:id="13" w:name="_Toc15396599"/>
      <w:r>
        <w:rPr>
          <w:rFonts w:hint="eastAsia" w:ascii="Times New Roman" w:hAnsi="Times New Roman" w:eastAsia="仿宋_GB2312" w:cs="仿宋_GB2312"/>
          <w:b/>
          <w:color w:val="auto"/>
          <w:sz w:val="32"/>
          <w:szCs w:val="32"/>
          <w:highlight w:val="none"/>
        </w:rPr>
        <w:br w:type="page"/>
      </w:r>
    </w:p>
    <w:p>
      <w:pPr>
        <w:pStyle w:val="5"/>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eastAsia="方正小标宋简体" w:cs="方正小标宋简体"/>
          <w:b w:val="0"/>
          <w:bCs w:val="0"/>
          <w:color w:val="auto"/>
          <w:highlight w:val="none"/>
          <w:lang w:eastAsia="zh-CN"/>
        </w:rPr>
        <w:t>单位</w:t>
      </w:r>
      <w:r>
        <w:rPr>
          <w:rStyle w:val="29"/>
          <w:rFonts w:hint="eastAsia" w:ascii="Times New Roman" w:hAnsi="Times New Roman" w:eastAsia="方正小标宋简体" w:cs="方正小标宋简体"/>
          <w:b w:val="0"/>
          <w:bCs w:val="0"/>
          <w:color w:val="auto"/>
          <w:highlight w:val="none"/>
        </w:rPr>
        <w:t>概况</w:t>
      </w:r>
      <w:bookmarkEnd w:id="12"/>
      <w:bookmarkEnd w:id="13"/>
    </w:p>
    <w:p>
      <w:pPr>
        <w:widowControl/>
        <w:jc w:val="left"/>
        <w:rPr>
          <w:rFonts w:ascii="Times New Roman" w:hAnsi="Times New Roman" w:eastAsia="黑体"/>
          <w:color w:val="auto"/>
          <w:sz w:val="32"/>
          <w:szCs w:val="32"/>
          <w:highlight w:val="none"/>
        </w:rPr>
      </w:pPr>
    </w:p>
    <w:p>
      <w:pPr>
        <w:pStyle w:val="6"/>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val="en-US" w:eastAsia="zh-CN"/>
        </w:rPr>
        <w:t>一、</w:t>
      </w:r>
      <w:r>
        <w:rPr>
          <w:rFonts w:hint="eastAsia" w:ascii="Times New Roman" w:hAnsi="Times New Roman" w:eastAsia="黑体"/>
          <w:b w:val="0"/>
          <w:color w:val="auto"/>
          <w:highlight w:val="none"/>
          <w:lang w:eastAsia="zh-CN"/>
        </w:rPr>
        <w:t>单位职责</w:t>
      </w:r>
    </w:p>
    <w:p>
      <w:pPr>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lang w:val="en-US" w:eastAsia="zh-CN"/>
        </w:rPr>
      </w:pPr>
      <w:r>
        <w:rPr>
          <w:rFonts w:hint="eastAsia"/>
          <w:lang w:val="en-US" w:eastAsia="zh-CN"/>
        </w:rPr>
        <w:t xml:space="preserve">  </w:t>
      </w:r>
      <w:r>
        <w:rPr>
          <w:rFonts w:hint="default" w:ascii="Times New Roman" w:hAnsi="Times New Roman" w:eastAsia="仿宋" w:cs="Times New Roman"/>
          <w:sz w:val="32"/>
          <w:szCs w:val="32"/>
        </w:rPr>
        <w:t>承担法制计量任务</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研究、建立全省社会公用计量标准</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承担授权范围内的产业计量检测技术服务，为行业、产业提供全产业链技术服务</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开展产业计量检测技术研究。</w:t>
      </w:r>
    </w:p>
    <w:p>
      <w:pPr>
        <w:pStyle w:val="6"/>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Style w:val="30"/>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lang w:val="en-US" w:eastAsia="zh-CN"/>
        </w:rPr>
        <w:t>二、</w:t>
      </w:r>
      <w:r>
        <w:rPr>
          <w:rFonts w:hint="eastAsia" w:ascii="Times New Roman" w:hAnsi="Times New Roman" w:eastAsia="黑体"/>
          <w:b w:val="0"/>
          <w:color w:val="auto"/>
          <w:highlight w:val="none"/>
        </w:rPr>
        <w:t>机</w:t>
      </w:r>
      <w:r>
        <w:rPr>
          <w:rStyle w:val="30"/>
          <w:rFonts w:hint="eastAsia" w:ascii="Times New Roman" w:hAnsi="Times New Roman" w:eastAsia="黑体"/>
          <w:b w:val="0"/>
          <w:bCs w:val="0"/>
          <w:color w:val="auto"/>
          <w:highlight w:val="none"/>
        </w:rPr>
        <w:t>构设置</w:t>
      </w:r>
      <w:bookmarkEnd w:id="14"/>
      <w:bookmarkEnd w:id="15"/>
    </w:p>
    <w:p>
      <w:pPr>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机构情况。四川省产业计量测试研究院</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lang w:val="en-US" w:eastAsia="zh-CN"/>
        </w:rPr>
        <w:t>以下简称“省计量院”）</w:t>
      </w:r>
      <w:r>
        <w:rPr>
          <w:rFonts w:hint="default" w:ascii="Times New Roman" w:hAnsi="Times New Roman" w:eastAsia="仿宋" w:cs="Times New Roman"/>
          <w:sz w:val="32"/>
          <w:szCs w:val="32"/>
        </w:rPr>
        <w:t>系四川省市场监督管理局直属事业单位，单位性质为公益一类事业单位，经费来源：核定收支，以事定费，分类保障。</w:t>
      </w:r>
    </w:p>
    <w:p>
      <w:pPr>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省计量院由</w:t>
      </w:r>
      <w:r>
        <w:rPr>
          <w:rFonts w:hint="eastAsia" w:eastAsia="仿宋" w:cs="Times New Roman"/>
          <w:sz w:val="32"/>
          <w:szCs w:val="32"/>
          <w:lang w:val="en-US" w:eastAsia="zh-CN"/>
        </w:rPr>
        <w:t>9</w:t>
      </w:r>
      <w:r>
        <w:rPr>
          <w:rFonts w:hint="default" w:ascii="Times New Roman" w:hAnsi="Times New Roman" w:eastAsia="仿宋" w:cs="Times New Roman"/>
          <w:sz w:val="32"/>
          <w:szCs w:val="32"/>
          <w:lang w:val="en-US" w:eastAsia="zh-CN"/>
        </w:rPr>
        <w:t>个</w:t>
      </w:r>
      <w:r>
        <w:rPr>
          <w:rFonts w:hint="default" w:ascii="Times New Roman" w:hAnsi="Times New Roman" w:eastAsia="仿宋" w:cs="Times New Roman"/>
          <w:sz w:val="32"/>
          <w:szCs w:val="32"/>
        </w:rPr>
        <w:t>内设科室组成</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分别是：</w:t>
      </w:r>
      <w:r>
        <w:rPr>
          <w:rFonts w:hint="default" w:ascii="Times New Roman" w:hAnsi="Times New Roman" w:eastAsia="仿宋" w:cs="Times New Roman"/>
          <w:sz w:val="32"/>
          <w:szCs w:val="32"/>
        </w:rPr>
        <w:t>办公室、</w:t>
      </w:r>
      <w:r>
        <w:rPr>
          <w:rFonts w:hint="default" w:ascii="Times New Roman" w:hAnsi="Times New Roman" w:eastAsia="仿宋" w:cs="Times New Roman"/>
          <w:sz w:val="32"/>
          <w:szCs w:val="32"/>
          <w:lang w:val="en-US" w:eastAsia="zh-CN"/>
        </w:rPr>
        <w:t>党务科、</w:t>
      </w:r>
      <w:r>
        <w:rPr>
          <w:rFonts w:hint="default" w:ascii="Times New Roman" w:hAnsi="Times New Roman" w:eastAsia="仿宋" w:cs="Times New Roman"/>
          <w:sz w:val="32"/>
          <w:szCs w:val="32"/>
        </w:rPr>
        <w:t>技术质量</w:t>
      </w:r>
      <w:r>
        <w:rPr>
          <w:rFonts w:hint="default" w:ascii="Times New Roman" w:hAnsi="Times New Roman" w:eastAsia="仿宋" w:cs="Times New Roman"/>
          <w:sz w:val="32"/>
          <w:szCs w:val="32"/>
          <w:lang w:val="en-US" w:eastAsia="zh-CN"/>
        </w:rPr>
        <w:t>科</w:t>
      </w:r>
      <w:r>
        <w:rPr>
          <w:rFonts w:hint="default" w:ascii="Times New Roman" w:hAnsi="Times New Roman" w:eastAsia="仿宋" w:cs="Times New Roman"/>
          <w:sz w:val="32"/>
          <w:szCs w:val="32"/>
        </w:rPr>
        <w:t>、财务</w:t>
      </w:r>
      <w:r>
        <w:rPr>
          <w:rFonts w:hint="default" w:ascii="Times New Roman" w:hAnsi="Times New Roman" w:eastAsia="仿宋" w:cs="Times New Roman"/>
          <w:sz w:val="32"/>
          <w:szCs w:val="32"/>
          <w:lang w:val="en-US" w:eastAsia="zh-CN"/>
        </w:rPr>
        <w:t>科</w:t>
      </w: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成都实验室</w:t>
      </w: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德阳实验室、业务科、</w:t>
      </w:r>
      <w:r>
        <w:rPr>
          <w:rFonts w:hint="default" w:ascii="Times New Roman" w:hAnsi="Times New Roman" w:eastAsia="仿宋" w:cs="Times New Roman"/>
          <w:sz w:val="32"/>
          <w:szCs w:val="32"/>
          <w:lang w:val="en-US" w:eastAsia="zh-CN"/>
        </w:rPr>
        <w:t>碳计量研究中心、</w:t>
      </w:r>
      <w:r>
        <w:rPr>
          <w:rFonts w:hint="default" w:ascii="Times New Roman" w:hAnsi="Times New Roman" w:eastAsia="仿宋" w:cs="Times New Roman"/>
          <w:sz w:val="32"/>
          <w:szCs w:val="32"/>
        </w:rPr>
        <w:t>泸州检测中心。</w:t>
      </w:r>
    </w:p>
    <w:p>
      <w:pPr>
        <w:pageBreakBefore w:val="0"/>
        <w:widowControl/>
        <w:kinsoku/>
        <w:wordWrap/>
        <w:overflowPunct/>
        <w:topLinePunct w:val="0"/>
        <w:autoSpaceDE/>
        <w:autoSpaceDN/>
        <w:bidi w:val="0"/>
        <w:adjustRightInd/>
        <w:snapToGrid/>
        <w:spacing w:line="560" w:lineRule="exact"/>
        <w:jc w:val="left"/>
        <w:textAlignment w:val="auto"/>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5"/>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eastAsia="方正小标宋简体" w:cs="方正小标宋简体"/>
          <w:b w:val="0"/>
          <w:color w:val="auto"/>
          <w:highlight w:val="none"/>
          <w:lang w:eastAsia="zh-CN"/>
        </w:rPr>
        <w:t>单位</w:t>
      </w:r>
      <w:r>
        <w:rPr>
          <w:rFonts w:hint="eastAsia" w:ascii="Times New Roman" w:hAnsi="Times New Roman" w:eastAsia="方正小标宋简体" w:cs="方正小标宋简体"/>
          <w:b w:val="0"/>
          <w:color w:val="auto"/>
          <w:highlight w:val="none"/>
        </w:rPr>
        <w:t>决算情况说明</w:t>
      </w:r>
      <w:bookmarkEnd w:id="16"/>
      <w:bookmarkEnd w:id="17"/>
    </w:p>
    <w:p>
      <w:pPr>
        <w:rPr>
          <w:rFonts w:ascii="Times New Roman" w:hAnsi="Times New Roman"/>
          <w:color w:val="auto"/>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8" w:name="_Toc15396603"/>
      <w:bookmarkStart w:id="19"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8"/>
      <w:bookmarkEnd w:id="19"/>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Times New Roman" w:hAnsi="Times New Roman" w:eastAsia="仿宋_GB2312" w:cs="仿宋_GB2312"/>
          <w:color w:val="auto"/>
          <w:sz w:val="32"/>
          <w:szCs w:val="32"/>
          <w:highlight w:val="none"/>
        </w:rPr>
        <w:t>2991.9万元。与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391.67</w:t>
      </w:r>
      <w:r>
        <w:rPr>
          <w:rFonts w:hint="eastAsia" w:ascii="Times New Roman" w:hAnsi="Times New Roman" w:eastAsia="仿宋_GB2312" w:cs="仿宋_GB2312"/>
          <w:color w:val="auto"/>
          <w:sz w:val="32"/>
          <w:szCs w:val="32"/>
          <w:highlight w:val="none"/>
        </w:rPr>
        <w:t>万元，增长/下降</w:t>
      </w:r>
      <w:r>
        <w:rPr>
          <w:rFonts w:hint="eastAsia" w:eastAsia="仿宋_GB2312" w:cs="仿宋_GB2312"/>
          <w:color w:val="auto"/>
          <w:sz w:val="32"/>
          <w:szCs w:val="32"/>
          <w:highlight w:val="none"/>
          <w:lang w:val="en-US" w:eastAsia="zh-CN"/>
        </w:rPr>
        <w:t>15.1</w:t>
      </w:r>
      <w:r>
        <w:rPr>
          <w:rFonts w:hint="eastAsia" w:ascii="Times New Roman" w:hAnsi="Times New Roman" w:eastAsia="仿宋_GB2312" w:cs="仿宋_GB2312"/>
          <w:color w:val="auto"/>
          <w:sz w:val="32"/>
          <w:szCs w:val="32"/>
          <w:highlight w:val="none"/>
        </w:rPr>
        <w:t>%。</w:t>
      </w:r>
      <w:r>
        <w:rPr>
          <w:rFonts w:hint="eastAsia" w:eastAsia="仿宋_GB2312" w:cs="仿宋_GB2312"/>
          <w:color w:val="auto"/>
          <w:sz w:val="32"/>
          <w:szCs w:val="32"/>
          <w:highlight w:val="none"/>
          <w:lang w:val="en-US" w:eastAsia="zh-CN"/>
        </w:rPr>
        <w:t xml:space="preserve">为保护消费者权益，2025年度加大了监督抽查和检查力度，随着监督抽查任务量的增加，相应的经费投入也同步增长。    </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rPr>
      </w:pPr>
      <w:r>
        <w:drawing>
          <wp:anchor distT="0" distB="0" distL="114300" distR="114300" simplePos="0" relativeHeight="251659264" behindDoc="1" locked="0" layoutInCell="1" allowOverlap="1">
            <wp:simplePos x="0" y="0"/>
            <wp:positionH relativeFrom="column">
              <wp:posOffset>717550</wp:posOffset>
            </wp:positionH>
            <wp:positionV relativeFrom="paragraph">
              <wp:posOffset>152400</wp:posOffset>
            </wp:positionV>
            <wp:extent cx="3216910" cy="2377440"/>
            <wp:effectExtent l="4445" t="4445" r="17145" b="18415"/>
            <wp:wrapTight wrapText="bothSides">
              <wp:wrapPolygon>
                <wp:start x="-30" y="-40"/>
                <wp:lineTo x="-30" y="21421"/>
                <wp:lineTo x="21459" y="21421"/>
                <wp:lineTo x="21459" y="-40"/>
                <wp:lineTo x="-30" y="-40"/>
              </wp:wrapPolygon>
            </wp:wrapTight>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pStyle w:val="2"/>
        <w:rPr>
          <w:rFonts w:hint="eastAsia" w:ascii="Times New Roman" w:hAnsi="Times New Roman" w:eastAsia="仿宋_GB2312" w:cs="仿宋_GB2312"/>
          <w:color w:val="auto"/>
          <w:sz w:val="32"/>
          <w:szCs w:val="32"/>
          <w:highlight w:val="none"/>
        </w:rPr>
      </w:pPr>
    </w:p>
    <w:p>
      <w:pPr>
        <w:pStyle w:val="3"/>
        <w:rPr>
          <w:rFonts w:hint="eastAsia" w:ascii="Times New Roman" w:hAnsi="Times New Roman" w:eastAsia="仿宋_GB2312" w:cs="仿宋_GB2312"/>
          <w:color w:val="auto"/>
          <w:sz w:val="32"/>
          <w:szCs w:val="32"/>
          <w:highlight w:val="none"/>
        </w:rPr>
      </w:pPr>
    </w:p>
    <w:p>
      <w:pPr>
        <w:rPr>
          <w:rFonts w:hint="eastAsia" w:ascii="Times New Roman" w:hAnsi="Times New Roman" w:eastAsia="仿宋_GB2312" w:cs="仿宋_GB2312"/>
          <w:color w:val="auto"/>
          <w:sz w:val="32"/>
          <w:szCs w:val="32"/>
          <w:highlight w:val="none"/>
        </w:rPr>
      </w:pPr>
    </w:p>
    <w:p>
      <w:pPr>
        <w:pStyle w:val="2"/>
        <w:rPr>
          <w:rFonts w:hint="eastAsia" w:ascii="Times New Roman" w:hAnsi="Times New Roman" w:eastAsia="仿宋_GB2312" w:cs="仿宋_GB2312"/>
          <w:color w:val="auto"/>
          <w:sz w:val="32"/>
          <w:szCs w:val="32"/>
          <w:highlight w:val="none"/>
        </w:rPr>
      </w:pPr>
    </w:p>
    <w:p>
      <w:pPr>
        <w:pStyle w:val="2"/>
        <w:ind w:firstLine="320" w:firstLineChars="100"/>
        <w:rPr>
          <w:rFonts w:hint="eastAsia" w:ascii="Times New Roman" w:hAnsi="Times New Roman" w:eastAsia="仿宋_GB2312" w:cs="仿宋_GB2312"/>
          <w:color w:val="auto"/>
          <w:sz w:val="32"/>
          <w:szCs w:val="32"/>
          <w:highlight w:val="none"/>
        </w:rPr>
      </w:pPr>
    </w:p>
    <w:p>
      <w:pPr>
        <w:pStyle w:val="2"/>
        <w:ind w:firstLine="320" w:firstLineChars="100"/>
        <w:rPr>
          <w:rFonts w:hint="eastAsia" w:ascii="Times New Roman" w:hAnsi="Times New Roman" w:eastAsia="仿宋_GB2312" w:cs="仿宋_GB2312"/>
          <w:color w:val="auto"/>
          <w:sz w:val="32"/>
          <w:szCs w:val="32"/>
          <w:highlight w:val="none"/>
        </w:rPr>
      </w:pPr>
    </w:p>
    <w:p>
      <w:pPr>
        <w:pStyle w:val="2"/>
        <w:ind w:firstLine="320" w:firstLineChars="100"/>
        <w:rPr>
          <w:rFonts w:hint="eastAsia"/>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2991.9</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2070.93</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69.22</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920.96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30.78</w:t>
      </w:r>
      <w:r>
        <w:rPr>
          <w:rFonts w:hint="eastAsia" w:ascii="Times New Roman" w:hAnsi="Times New Roman" w:eastAsia="仿宋_GB2312" w:cs="仿宋_GB2312"/>
          <w:color w:val="auto"/>
          <w:sz w:val="32"/>
          <w:szCs w:val="32"/>
          <w:highlight w:val="none"/>
          <w:lang w:eastAsia="zh-CN"/>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827405</wp:posOffset>
            </wp:positionH>
            <wp:positionV relativeFrom="paragraph">
              <wp:posOffset>-109220</wp:posOffset>
            </wp:positionV>
            <wp:extent cx="3123565" cy="2279015"/>
            <wp:effectExtent l="4445" t="4445" r="15240" b="21590"/>
            <wp:wrapSquare wrapText="bothSides"/>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2"/>
      <w:bookmarkEnd w:id="23"/>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本年支出合计2813.6</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万元，其中：基本支出752.93万元，占</w:t>
      </w:r>
      <w:r>
        <w:rPr>
          <w:rFonts w:hint="eastAsia" w:eastAsia="仿宋_GB2312" w:cs="仿宋_GB2312"/>
          <w:color w:val="auto"/>
          <w:sz w:val="32"/>
          <w:szCs w:val="32"/>
          <w:highlight w:val="none"/>
          <w:lang w:val="en-US" w:eastAsia="zh-CN"/>
        </w:rPr>
        <w:t>26.76</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2060.67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73.24</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_GB2312" w:cs="仿宋_GB2312"/>
          <w:color w:val="auto"/>
          <w:sz w:val="32"/>
          <w:szCs w:val="32"/>
          <w:highlight w:val="none"/>
          <w:lang w:eastAsia="zh-CN"/>
        </w:rPr>
      </w:pPr>
      <w:r>
        <w:drawing>
          <wp:anchor distT="0" distB="0" distL="114300" distR="114300" simplePos="0" relativeHeight="251661312" behindDoc="1" locked="0" layoutInCell="1" allowOverlap="1">
            <wp:simplePos x="0" y="0"/>
            <wp:positionH relativeFrom="column">
              <wp:posOffset>786130</wp:posOffset>
            </wp:positionH>
            <wp:positionV relativeFrom="paragraph">
              <wp:posOffset>201295</wp:posOffset>
            </wp:positionV>
            <wp:extent cx="3171825" cy="2211070"/>
            <wp:effectExtent l="4445" t="4445" r="5080" b="32385"/>
            <wp:wrapTight wrapText="bothSides">
              <wp:wrapPolygon>
                <wp:start x="-30" y="-43"/>
                <wp:lineTo x="-30" y="21544"/>
                <wp:lineTo x="21505" y="21544"/>
                <wp:lineTo x="21505" y="-43"/>
                <wp:lineTo x="-30" y="-43"/>
              </wp:wrapPolygon>
            </wp:wrapTight>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spacing w:line="600" w:lineRule="exact"/>
        <w:ind w:firstLine="640" w:firstLineChars="200"/>
        <w:outlineLvl w:val="1"/>
        <w:rPr>
          <w:rStyle w:val="30"/>
          <w:rFonts w:ascii="Times New Roman" w:hAnsi="Times New Roman" w:eastAsia="黑体"/>
          <w:b w:val="0"/>
          <w:color w:val="auto"/>
          <w:highlight w:val="none"/>
        </w:rPr>
      </w:pPr>
      <w:bookmarkStart w:id="24" w:name="_Toc15377208"/>
      <w:bookmarkStart w:id="25"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4"/>
      <w:bookmarkEnd w:id="2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2070.93</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430.34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26.23</w:t>
      </w:r>
      <w:r>
        <w:rPr>
          <w:rFonts w:hint="eastAsia" w:ascii="Times New Roman" w:hAnsi="Times New Roman" w:eastAsia="仿宋_GB2312" w:cs="仿宋_GB2312"/>
          <w:color w:val="auto"/>
          <w:kern w:val="2"/>
          <w:sz w:val="32"/>
          <w:szCs w:val="32"/>
          <w:highlight w:val="none"/>
          <w:lang w:val="en-US" w:eastAsia="zh-CN" w:bidi="ar-SA"/>
        </w:rPr>
        <w:t>%。主要变动原因有两点：一是2025年度监督抽查及检查力度加大，随着抽查任务量提升，经费投入同步增长；二是统计口径有所调整，2025年将结转金额纳入收支总额统计，而2024年结转资金未纳入该统计范围。</w:t>
      </w:r>
    </w:p>
    <w:p>
      <w:pPr>
        <w:rPr>
          <w:rFonts w:hint="default"/>
          <w:lang w:val="en-US" w:eastAsia="zh-CN"/>
        </w:rPr>
      </w:pPr>
      <w:r>
        <w:drawing>
          <wp:anchor distT="0" distB="0" distL="114300" distR="114300" simplePos="0" relativeHeight="251665408" behindDoc="1" locked="0" layoutInCell="1" allowOverlap="1">
            <wp:simplePos x="0" y="0"/>
            <wp:positionH relativeFrom="column">
              <wp:posOffset>633730</wp:posOffset>
            </wp:positionH>
            <wp:positionV relativeFrom="paragraph">
              <wp:posOffset>118745</wp:posOffset>
            </wp:positionV>
            <wp:extent cx="3660775" cy="2207260"/>
            <wp:effectExtent l="4445" t="4445" r="11430" b="17145"/>
            <wp:wrapTight wrapText="bothSides">
              <wp:wrapPolygon>
                <wp:start x="-26" y="-43"/>
                <wp:lineTo x="-26" y="21395"/>
                <wp:lineTo x="21555" y="21395"/>
                <wp:lineTo x="21555" y="-43"/>
                <wp:lineTo x="-26" y="-43"/>
              </wp:wrapPolygon>
            </wp:wrapTight>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firstLineChars="200"/>
        <w:outlineLvl w:val="1"/>
        <w:rPr>
          <w:rStyle w:val="30"/>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6"/>
      <w:bookmarkEnd w:id="27"/>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bookmarkStart w:id="71" w:name="_GoBack"/>
      <w:bookmarkEnd w:id="71"/>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1956.99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16.4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%。主要变动原因是2025年度监督抽查及检查力度加大，随着抽查任务量提升，经费投入同步增长</w:t>
      </w:r>
      <w:r>
        <w:rPr>
          <w:rFonts w:hint="eastAsia" w:eastAsia="仿宋_GB2312" w:cs="仿宋_GB2312"/>
          <w:color w:val="auto"/>
          <w:kern w:val="2"/>
          <w:sz w:val="32"/>
          <w:szCs w:val="32"/>
          <w:highlight w:val="none"/>
          <w:lang w:val="en-US" w:eastAsia="zh-CN" w:bidi="ar-SA"/>
        </w:rPr>
        <w:t>。</w:t>
      </w:r>
    </w:p>
    <w:p>
      <w:pPr>
        <w:pStyle w:val="2"/>
        <w:rPr>
          <w:rFonts w:hint="eastAsia" w:eastAsia="仿宋_GB2312" w:cs="仿宋_GB2312"/>
          <w:color w:val="auto"/>
          <w:kern w:val="2"/>
          <w:sz w:val="32"/>
          <w:szCs w:val="32"/>
          <w:highlight w:val="none"/>
          <w:lang w:val="en-US" w:eastAsia="zh-CN" w:bidi="ar-SA"/>
        </w:rPr>
      </w:pPr>
      <w:r>
        <w:drawing>
          <wp:anchor distT="0" distB="0" distL="114300" distR="114300" simplePos="0" relativeHeight="251663360" behindDoc="1" locked="0" layoutInCell="1" allowOverlap="1">
            <wp:simplePos x="0" y="0"/>
            <wp:positionH relativeFrom="column">
              <wp:posOffset>1056005</wp:posOffset>
            </wp:positionH>
            <wp:positionV relativeFrom="paragraph">
              <wp:posOffset>144145</wp:posOffset>
            </wp:positionV>
            <wp:extent cx="3460115" cy="2253615"/>
            <wp:effectExtent l="5080" t="4445" r="20955" b="8890"/>
            <wp:wrapTight wrapText="bothSides">
              <wp:wrapPolygon>
                <wp:start x="-32" y="-43"/>
                <wp:lineTo x="-32" y="21503"/>
                <wp:lineTo x="21493" y="21503"/>
                <wp:lineTo x="21493" y="-43"/>
                <wp:lineTo x="-32" y="-43"/>
              </wp:wrapPolygon>
            </wp:wrapTight>
            <wp:docPr id="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Style w:val="3"/>
        <w:rPr>
          <w:rFonts w:hint="eastAsia" w:eastAsia="仿宋_GB2312" w:cs="仿宋_GB2312"/>
          <w:color w:val="auto"/>
          <w:kern w:val="2"/>
          <w:sz w:val="32"/>
          <w:szCs w:val="32"/>
          <w:highlight w:val="none"/>
          <w:lang w:val="en-US" w:eastAsia="zh-CN" w:bidi="ar-SA"/>
        </w:rPr>
      </w:pPr>
    </w:p>
    <w:p>
      <w:pPr>
        <w:rPr>
          <w:rFonts w:hint="eastAsia" w:eastAsia="仿宋_GB2312" w:cs="仿宋_GB2312"/>
          <w:color w:val="auto"/>
          <w:kern w:val="2"/>
          <w:sz w:val="32"/>
          <w:szCs w:val="32"/>
          <w:highlight w:val="none"/>
          <w:lang w:val="en-US" w:eastAsia="zh-CN" w:bidi="ar-SA"/>
        </w:rPr>
      </w:pPr>
    </w:p>
    <w:p>
      <w:pPr>
        <w:pStyle w:val="2"/>
        <w:rPr>
          <w:rFonts w:hint="eastAsia" w:eastAsia="仿宋_GB2312" w:cs="仿宋_GB2312"/>
          <w:color w:val="auto"/>
          <w:kern w:val="2"/>
          <w:sz w:val="32"/>
          <w:szCs w:val="32"/>
          <w:highlight w:val="none"/>
          <w:lang w:val="en-US" w:eastAsia="zh-CN" w:bidi="ar-SA"/>
        </w:rPr>
      </w:pPr>
    </w:p>
    <w:p>
      <w:pPr>
        <w:pStyle w:val="3"/>
        <w:rPr>
          <w:rFonts w:hint="eastAsia"/>
          <w:lang w:val="en-US" w:eastAsia="zh-CN"/>
        </w:rPr>
      </w:pPr>
    </w:p>
    <w:p>
      <w:pPr>
        <w:pStyle w:val="2"/>
        <w:rPr>
          <w:rFonts w:hint="eastAsia" w:eastAsia="仿宋_GB2312" w:cs="仿宋_GB2312"/>
          <w:color w:val="auto"/>
          <w:kern w:val="2"/>
          <w:sz w:val="32"/>
          <w:szCs w:val="32"/>
          <w:highlight w:val="none"/>
          <w:lang w:val="en-US" w:eastAsia="zh-CN" w:bidi="ar-SA"/>
        </w:rPr>
      </w:pPr>
    </w:p>
    <w:p>
      <w:pPr>
        <w:pStyle w:val="3"/>
        <w:rPr>
          <w:rFonts w:hint="eastAsia" w:eastAsia="仿宋_GB2312" w:cs="仿宋_GB2312"/>
          <w:color w:val="auto"/>
          <w:kern w:val="2"/>
          <w:sz w:val="32"/>
          <w:szCs w:val="32"/>
          <w:highlight w:val="none"/>
          <w:lang w:val="en-US" w:eastAsia="zh-CN" w:bidi="ar-SA"/>
        </w:rPr>
      </w:pPr>
    </w:p>
    <w:p>
      <w:pPr>
        <w:rPr>
          <w:rFonts w:hint="eastAsia"/>
          <w:lang w:val="en-US" w:eastAsia="zh-CN"/>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1956.99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1907.73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97.48</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8.39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0.43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1.03</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9.3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0.48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11.46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0.59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pStyle w:val="2"/>
        <w:rPr>
          <w:rFonts w:hint="eastAsia" w:eastAsia="仿宋_GB2312" w:cs="仿宋_GB2312"/>
          <w:color w:val="auto"/>
          <w:kern w:val="2"/>
          <w:sz w:val="32"/>
          <w:szCs w:val="32"/>
          <w:highlight w:val="none"/>
          <w:lang w:val="en-US" w:eastAsia="zh-CN" w:bidi="ar-SA"/>
        </w:rPr>
      </w:pPr>
    </w:p>
    <w:p>
      <w:pPr>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w:t>
      </w:r>
      <w:r>
        <w:drawing>
          <wp:inline distT="0" distB="0" distL="114300" distR="114300">
            <wp:extent cx="4020185" cy="2676525"/>
            <wp:effectExtent l="4445" t="4445" r="13970" b="5080"/>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213"/>
      <w:bookmarkStart w:id="32" w:name="_Toc15378460"/>
      <w:bookmarkStart w:id="33" w:name="_Toc15377444"/>
      <w:r>
        <w:rPr>
          <w:rFonts w:hint="eastAsia" w:eastAsia="仿宋_GB2312" w:cs="仿宋_GB2312"/>
          <w:color w:val="auto"/>
          <w:kern w:val="2"/>
          <w:sz w:val="32"/>
          <w:szCs w:val="32"/>
          <w:highlight w:val="none"/>
          <w:lang w:val="en-US" w:eastAsia="zh-CN" w:bidi="ar-SA"/>
        </w:rPr>
        <w:t>1.2025年度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1956.99</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94.5</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一般公共服务（类）市场监督管理事务（款）质量基础（项）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620.26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99.97</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eastAsia" w:eastAsia="仿宋_GB2312" w:cs="仿宋_GB2312"/>
          <w:color w:val="auto"/>
          <w:kern w:val="2"/>
          <w:sz w:val="32"/>
          <w:szCs w:val="32"/>
          <w:highlight w:val="none"/>
          <w:lang w:val="en-US" w:eastAsia="zh-CN" w:bidi="ar-SA"/>
        </w:rPr>
        <w:t>预算编制时基于估算，实际支出有正常的波动（差旅费、购样费、专用材料费等）；</w:t>
      </w:r>
      <w:r>
        <w:rPr>
          <w:rFonts w:hint="eastAsia" w:ascii="Times New Roman" w:hAnsi="Times New Roman" w:eastAsia="仿宋_GB2312" w:cs="仿宋_GB2312"/>
          <w:color w:val="auto"/>
          <w:kern w:val="2"/>
          <w:sz w:val="32"/>
          <w:szCs w:val="32"/>
          <w:highlight w:val="none"/>
          <w:lang w:val="en-US" w:eastAsia="zh-CN" w:bidi="ar-SA"/>
        </w:rPr>
        <w:t>一般公共服务（类）市场监督管理事务（款）质量安全监管（项）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一般公共服务（类）市场监督管理事务（款）事业运行（项）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238.88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99.85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，决算数小于预算数的主要原因是基本支出合理范围的预算波动；</w:t>
      </w:r>
      <w:r>
        <w:rPr>
          <w:rFonts w:hint="eastAsia" w:ascii="Times New Roman" w:hAnsi="Times New Roman" w:eastAsia="仿宋_GB2312" w:cs="仿宋_GB2312"/>
          <w:color w:val="auto"/>
          <w:kern w:val="2"/>
          <w:sz w:val="32"/>
          <w:szCs w:val="32"/>
          <w:highlight w:val="none"/>
          <w:lang w:val="en-US" w:eastAsia="zh-CN" w:bidi="ar-SA"/>
        </w:rPr>
        <w:t>一般公共服务（类）市场监督管理事务（款）其他市场监督管理事务（项）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1023.6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89.98</w:t>
      </w:r>
      <w:r>
        <w:rPr>
          <w:rFonts w:hint="eastAsia" w:ascii="Times New Roman" w:hAnsi="Times New Roman" w:eastAsia="仿宋_GB2312" w:cs="仿宋_GB2312"/>
          <w:color w:val="auto"/>
          <w:kern w:val="2"/>
          <w:sz w:val="32"/>
          <w:szCs w:val="32"/>
          <w:highlight w:val="none"/>
          <w:lang w:val="en-US" w:eastAsia="zh-CN" w:bidi="ar-SA"/>
        </w:rPr>
        <w:t>%，决算数小于预算数的主要原因</w:t>
      </w:r>
      <w:r>
        <w:rPr>
          <w:rStyle w:val="18"/>
          <w:rFonts w:hint="default" w:ascii="Times New Roman" w:hAnsi="Times New Roman" w:eastAsia="仿宋" w:cs="Times New Roman"/>
          <w:b w:val="0"/>
          <w:bCs w:val="0"/>
          <w:color w:val="auto"/>
          <w:sz w:val="32"/>
          <w:szCs w:val="32"/>
          <w:highlight w:val="none"/>
        </w:rPr>
        <w:t>是</w:t>
      </w:r>
      <w:r>
        <w:rPr>
          <w:rStyle w:val="18"/>
          <w:rFonts w:hint="default" w:ascii="Times New Roman" w:hAnsi="Times New Roman" w:eastAsia="仿宋" w:cs="Times New Roman"/>
          <w:b w:val="0"/>
          <w:bCs w:val="0"/>
          <w:color w:val="auto"/>
          <w:sz w:val="32"/>
          <w:szCs w:val="32"/>
          <w:highlight w:val="none"/>
          <w:lang w:val="en-US" w:eastAsia="zh-CN"/>
        </w:rPr>
        <w:t>政府采购项目正常结转。</w:t>
      </w:r>
    </w:p>
    <w:p>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科学技术（类）科学技术支出（款）其他科学技术支出（项）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8.39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.卫生健康（类）行政事业单位医疗（款）事业单位医疗（项）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firstLineChars="200"/>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5.住房保障支出（类）住房改革支出（款）住房公积金（项）：支出决算数为11.46万元，完成预算100%。</w:t>
      </w:r>
    </w:p>
    <w:p>
      <w:pPr>
        <w:tabs>
          <w:tab w:val="right" w:pos="8306"/>
        </w:tabs>
        <w:spacing w:line="600" w:lineRule="exact"/>
        <w:ind w:firstLine="640"/>
        <w:outlineLvl w:val="1"/>
        <w:rPr>
          <w:rStyle w:val="30"/>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4"/>
      <w:bookmarkEnd w:id="35"/>
      <w:r>
        <w:rPr>
          <w:rStyle w:val="30"/>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279.74</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223.5</w:t>
      </w:r>
      <w:r>
        <w:rPr>
          <w:rFonts w:hint="eastAsia" w:ascii="Times New Roman" w:hAnsi="Times New Roman" w:eastAsia="仿宋_GB2312" w:cs="仿宋_GB2312"/>
          <w:color w:val="auto"/>
          <w:kern w:val="2"/>
          <w:sz w:val="32"/>
          <w:szCs w:val="32"/>
          <w:highlight w:val="none"/>
          <w:lang w:val="en-US" w:eastAsia="zh-CN" w:bidi="ar-SA"/>
        </w:rPr>
        <w:t>万元，主要包括：基本工资、绩效工资、机关事业单位基本养老保险缴费、职业年金缴费、其他社会保障缴费、其他工资福利支出。</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56.24</w:t>
      </w:r>
      <w:r>
        <w:rPr>
          <w:rFonts w:hint="eastAsia" w:ascii="Times New Roman" w:hAnsi="Times New Roman" w:eastAsia="仿宋_GB2312" w:cs="仿宋_GB2312"/>
          <w:color w:val="auto"/>
          <w:kern w:val="2"/>
          <w:sz w:val="32"/>
          <w:szCs w:val="32"/>
          <w:highlight w:val="none"/>
          <w:lang w:val="en-US" w:eastAsia="zh-CN" w:bidi="ar-SA"/>
        </w:rPr>
        <w:t>万元，主要包括：物业管理费、差旅费、因公出国（境）费用、公务接待费、公务用车运行维护费、其他商品和服务支出。</w:t>
      </w:r>
    </w:p>
    <w:p>
      <w:pPr>
        <w:spacing w:line="600" w:lineRule="exact"/>
        <w:ind w:firstLine="640"/>
        <w:outlineLvl w:val="1"/>
        <w:rPr>
          <w:rStyle w:val="30"/>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6"/>
      <w:bookmarkEnd w:id="37"/>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1.24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77.5</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2.77</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69.1</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r>
        <w:rPr>
          <w:rFonts w:hint="eastAsia" w:eastAsia="仿宋_GB2312" w:cs="仿宋_GB2312"/>
          <w:color w:val="auto"/>
          <w:kern w:val="2"/>
          <w:sz w:val="32"/>
          <w:szCs w:val="32"/>
          <w:highlight w:val="none"/>
          <w:lang w:val="en-US" w:eastAsia="zh-CN" w:bidi="ar-SA"/>
        </w:rPr>
        <w:t>省计量院严格落实过紧日子的要求，压减“三公”经费支出。</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0.99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79.8</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0.25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%。具体情况如下：</w:t>
      </w:r>
    </w:p>
    <w:p>
      <w:pPr>
        <w:pStyle w:val="2"/>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1" locked="0" layoutInCell="1" allowOverlap="1">
            <wp:simplePos x="0" y="0"/>
            <wp:positionH relativeFrom="column">
              <wp:posOffset>796925</wp:posOffset>
            </wp:positionH>
            <wp:positionV relativeFrom="paragraph">
              <wp:posOffset>54610</wp:posOffset>
            </wp:positionV>
            <wp:extent cx="3729990" cy="2005965"/>
            <wp:effectExtent l="4445" t="4445" r="37465" b="8890"/>
            <wp:wrapTight wrapText="bothSides">
              <wp:wrapPolygon>
                <wp:start x="-26" y="-48"/>
                <wp:lineTo x="-26" y="21491"/>
                <wp:lineTo x="21486" y="21491"/>
                <wp:lineTo x="21486" y="-48"/>
                <wp:lineTo x="-26" y="-48"/>
              </wp:wrapPolygon>
            </wp:wrapTight>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lang w:val="en-US" w:eastAsia="zh-CN"/>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600" w:lineRule="exact"/>
        <w:ind w:firstLine="64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1..因公出国（境）经费支出</w:t>
      </w:r>
      <w:r>
        <w:rPr>
          <w:rFonts w:hint="eastAsia" w:eastAsia="仿宋_GB2312" w:cs="仿宋_GB2312"/>
          <w:b w:val="0"/>
          <w:bCs w:val="0"/>
          <w:color w:val="auto"/>
          <w:kern w:val="2"/>
          <w:sz w:val="32"/>
          <w:szCs w:val="32"/>
          <w:highlight w:val="none"/>
          <w:lang w:val="en-US" w:eastAsia="zh-CN" w:bidi="ar-SA"/>
        </w:rPr>
        <w:t>0</w:t>
      </w:r>
      <w:r>
        <w:rPr>
          <w:rFonts w:hint="eastAsia" w:ascii="Times New Roman" w:hAnsi="Times New Roman" w:eastAsia="仿宋_GB2312" w:cs="仿宋_GB2312"/>
          <w:b w:val="0"/>
          <w:bCs w:val="0"/>
          <w:color w:val="auto"/>
          <w:kern w:val="2"/>
          <w:sz w:val="32"/>
          <w:szCs w:val="32"/>
          <w:highlight w:val="none"/>
          <w:lang w:val="en-US" w:eastAsia="zh-CN" w:bidi="ar-SA"/>
        </w:rPr>
        <w:t>万元，完成预算</w:t>
      </w:r>
      <w:r>
        <w:rPr>
          <w:rFonts w:hint="eastAsia" w:eastAsia="仿宋_GB2312" w:cs="仿宋_GB2312"/>
          <w:b w:val="0"/>
          <w:bCs w:val="0"/>
          <w:color w:val="auto"/>
          <w:kern w:val="2"/>
          <w:sz w:val="32"/>
          <w:szCs w:val="32"/>
          <w:highlight w:val="none"/>
          <w:lang w:val="en-US" w:eastAsia="zh-CN" w:bidi="ar-SA"/>
        </w:rPr>
        <w:t>100</w:t>
      </w:r>
      <w:r>
        <w:rPr>
          <w:rFonts w:hint="eastAsia" w:ascii="Times New Roman" w:hAnsi="Times New Roman" w:eastAsia="仿宋_GB2312" w:cs="仿宋_GB2312"/>
          <w:b w:val="0"/>
          <w:bCs w:val="0"/>
          <w:color w:val="auto"/>
          <w:kern w:val="2"/>
          <w:sz w:val="32"/>
          <w:szCs w:val="32"/>
          <w:highlight w:val="none"/>
          <w:lang w:val="en-US" w:eastAsia="zh-CN" w:bidi="ar-SA"/>
        </w:rPr>
        <w:t>%。全年安排因公出国（境）团组</w:t>
      </w:r>
      <w:r>
        <w:rPr>
          <w:rFonts w:hint="eastAsia" w:eastAsia="仿宋_GB2312" w:cs="仿宋_GB2312"/>
          <w:b w:val="0"/>
          <w:bCs w:val="0"/>
          <w:color w:val="auto"/>
          <w:kern w:val="2"/>
          <w:sz w:val="32"/>
          <w:szCs w:val="32"/>
          <w:highlight w:val="none"/>
          <w:lang w:val="en-US" w:eastAsia="zh-CN" w:bidi="ar-SA"/>
        </w:rPr>
        <w:t>0</w:t>
      </w:r>
      <w:r>
        <w:rPr>
          <w:rFonts w:hint="eastAsia" w:ascii="Times New Roman" w:hAnsi="Times New Roman" w:eastAsia="仿宋_GB2312" w:cs="仿宋_GB2312"/>
          <w:b w:val="0"/>
          <w:bCs w:val="0"/>
          <w:color w:val="auto"/>
          <w:kern w:val="2"/>
          <w:sz w:val="32"/>
          <w:szCs w:val="32"/>
          <w:highlight w:val="none"/>
          <w:lang w:val="en-US" w:eastAsia="zh-CN" w:bidi="ar-SA"/>
        </w:rPr>
        <w:t>次，出国（境）</w:t>
      </w:r>
      <w:r>
        <w:rPr>
          <w:rFonts w:hint="eastAsia" w:eastAsia="仿宋_GB2312" w:cs="仿宋_GB2312"/>
          <w:b w:val="0"/>
          <w:bCs w:val="0"/>
          <w:color w:val="auto"/>
          <w:kern w:val="2"/>
          <w:sz w:val="32"/>
          <w:szCs w:val="32"/>
          <w:highlight w:val="none"/>
          <w:lang w:val="en-US" w:eastAsia="zh-CN" w:bidi="ar-SA"/>
        </w:rPr>
        <w:t>0</w:t>
      </w:r>
      <w:r>
        <w:rPr>
          <w:rFonts w:hint="eastAsia" w:ascii="Times New Roman" w:hAnsi="Times New Roman" w:eastAsia="仿宋_GB2312" w:cs="仿宋_GB2312"/>
          <w:b w:val="0"/>
          <w:bCs w:val="0"/>
          <w:color w:val="auto"/>
          <w:kern w:val="2"/>
          <w:sz w:val="32"/>
          <w:szCs w:val="32"/>
          <w:highlight w:val="none"/>
          <w:lang w:val="en-US" w:eastAsia="zh-CN" w:bidi="ar-SA"/>
        </w:rPr>
        <w:t>人。</w:t>
      </w:r>
    </w:p>
    <w:p>
      <w:pPr>
        <w:spacing w:line="600" w:lineRule="exact"/>
        <w:ind w:firstLine="640"/>
        <w:rPr>
          <w:rFonts w:hint="eastAsia"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2.2.公务用车购置及运行维护费支出</w:t>
      </w:r>
      <w:r>
        <w:rPr>
          <w:rFonts w:hint="eastAsia" w:eastAsia="仿宋_GB2312" w:cs="仿宋_GB2312"/>
          <w:b w:val="0"/>
          <w:bCs w:val="0"/>
          <w:color w:val="auto"/>
          <w:kern w:val="2"/>
          <w:sz w:val="32"/>
          <w:szCs w:val="32"/>
          <w:highlight w:val="none"/>
          <w:lang w:val="en-US" w:eastAsia="zh-CN" w:bidi="ar-SA"/>
        </w:rPr>
        <w:t>0.99</w:t>
      </w:r>
      <w:r>
        <w:rPr>
          <w:rFonts w:hint="eastAsia" w:ascii="Times New Roman" w:hAnsi="Times New Roman" w:eastAsia="仿宋_GB2312" w:cs="仿宋_GB2312"/>
          <w:b w:val="0"/>
          <w:bCs w:val="0"/>
          <w:color w:val="auto"/>
          <w:kern w:val="2"/>
          <w:sz w:val="32"/>
          <w:szCs w:val="32"/>
          <w:highlight w:val="none"/>
          <w:lang w:val="en-US" w:eastAsia="zh-CN" w:bidi="ar-SA"/>
        </w:rPr>
        <w:t>万元</w:t>
      </w:r>
      <w:r>
        <w:rPr>
          <w:rFonts w:hint="eastAsia" w:eastAsia="仿宋_GB2312" w:cs="仿宋_GB2312"/>
          <w:b w:val="0"/>
          <w:bCs w:val="0"/>
          <w:color w:val="auto"/>
          <w:kern w:val="2"/>
          <w:sz w:val="32"/>
          <w:szCs w:val="32"/>
          <w:highlight w:val="none"/>
          <w:lang w:val="en-US" w:eastAsia="zh-CN" w:bidi="ar-SA"/>
        </w:rPr>
        <w:t>，</w:t>
      </w:r>
      <w:r>
        <w:rPr>
          <w:rFonts w:hint="eastAsia" w:ascii="Times New Roman" w:hAnsi="Times New Roman" w:eastAsia="仿宋_GB2312" w:cs="仿宋_GB2312"/>
          <w:b w:val="0"/>
          <w:bCs w:val="0"/>
          <w:color w:val="auto"/>
          <w:kern w:val="2"/>
          <w:sz w:val="32"/>
          <w:szCs w:val="32"/>
          <w:highlight w:val="none"/>
          <w:lang w:val="en-US" w:eastAsia="zh-CN" w:bidi="ar-SA"/>
        </w:rPr>
        <w:t>完成预算</w:t>
      </w:r>
      <w:r>
        <w:rPr>
          <w:rFonts w:hint="eastAsia" w:eastAsia="仿宋_GB2312" w:cs="仿宋_GB2312"/>
          <w:b w:val="0"/>
          <w:bCs w:val="0"/>
          <w:color w:val="auto"/>
          <w:kern w:val="2"/>
          <w:sz w:val="32"/>
          <w:szCs w:val="32"/>
          <w:highlight w:val="none"/>
          <w:lang w:val="en-US" w:eastAsia="zh-CN" w:bidi="ar-SA"/>
        </w:rPr>
        <w:t>99</w:t>
      </w:r>
      <w:r>
        <w:rPr>
          <w:rFonts w:hint="eastAsia" w:ascii="Times New Roman" w:hAnsi="Times New Roman" w:eastAsia="仿宋_GB2312" w:cs="仿宋_GB2312"/>
          <w:b w:val="0"/>
          <w:bCs w:val="0"/>
          <w:color w:val="auto"/>
          <w:kern w:val="2"/>
          <w:sz w:val="32"/>
          <w:szCs w:val="32"/>
          <w:highlight w:val="none"/>
          <w:lang w:val="en-US" w:eastAsia="zh-CN" w:bidi="ar-SA"/>
        </w:rPr>
        <w:t>%。公务用车购置及运行维护费支出决算比202</w:t>
      </w:r>
      <w:r>
        <w:rPr>
          <w:rFonts w:hint="eastAsia" w:eastAsia="仿宋_GB2312" w:cs="仿宋_GB2312"/>
          <w:b w:val="0"/>
          <w:bCs w:val="0"/>
          <w:color w:val="auto"/>
          <w:kern w:val="2"/>
          <w:sz w:val="32"/>
          <w:szCs w:val="32"/>
          <w:highlight w:val="none"/>
          <w:lang w:val="en-US" w:eastAsia="zh-CN" w:bidi="ar-SA"/>
        </w:rPr>
        <w:t>4</w:t>
      </w:r>
      <w:r>
        <w:rPr>
          <w:rFonts w:hint="eastAsia" w:ascii="Times New Roman" w:hAnsi="Times New Roman" w:eastAsia="仿宋_GB2312" w:cs="仿宋_GB2312"/>
          <w:b w:val="0"/>
          <w:bCs w:val="0"/>
          <w:color w:val="auto"/>
          <w:kern w:val="2"/>
          <w:sz w:val="32"/>
          <w:szCs w:val="32"/>
          <w:highlight w:val="none"/>
          <w:lang w:val="en-US" w:eastAsia="zh-CN" w:bidi="ar-SA"/>
        </w:rPr>
        <w:t>年度减少</w:t>
      </w:r>
      <w:r>
        <w:rPr>
          <w:rFonts w:hint="eastAsia" w:eastAsia="仿宋_GB2312" w:cs="仿宋_GB2312"/>
          <w:b w:val="0"/>
          <w:bCs w:val="0"/>
          <w:color w:val="auto"/>
          <w:kern w:val="2"/>
          <w:sz w:val="32"/>
          <w:szCs w:val="32"/>
          <w:highlight w:val="none"/>
          <w:lang w:val="en-US" w:eastAsia="zh-CN" w:bidi="ar-SA"/>
        </w:rPr>
        <w:t>2.02</w:t>
      </w:r>
      <w:r>
        <w:rPr>
          <w:rFonts w:hint="eastAsia" w:ascii="Times New Roman" w:hAnsi="Times New Roman" w:eastAsia="仿宋_GB2312" w:cs="仿宋_GB2312"/>
          <w:b w:val="0"/>
          <w:bCs w:val="0"/>
          <w:color w:val="auto"/>
          <w:kern w:val="2"/>
          <w:sz w:val="32"/>
          <w:szCs w:val="32"/>
          <w:highlight w:val="none"/>
          <w:lang w:val="en-US" w:eastAsia="zh-CN" w:bidi="ar-SA"/>
        </w:rPr>
        <w:t>万元，下降</w:t>
      </w:r>
      <w:r>
        <w:rPr>
          <w:rFonts w:hint="eastAsia" w:eastAsia="仿宋_GB2312" w:cs="仿宋_GB2312"/>
          <w:b w:val="0"/>
          <w:bCs w:val="0"/>
          <w:color w:val="auto"/>
          <w:kern w:val="2"/>
          <w:sz w:val="32"/>
          <w:szCs w:val="32"/>
          <w:highlight w:val="none"/>
          <w:lang w:val="en-US" w:eastAsia="zh-CN" w:bidi="ar-SA"/>
        </w:rPr>
        <w:t>67.1</w:t>
      </w:r>
      <w:r>
        <w:rPr>
          <w:rFonts w:hint="eastAsia" w:ascii="Times New Roman" w:hAnsi="Times New Roman" w:eastAsia="仿宋_GB2312" w:cs="仿宋_GB2312"/>
          <w:b w:val="0"/>
          <w:bCs w:val="0"/>
          <w:color w:val="auto"/>
          <w:kern w:val="2"/>
          <w:sz w:val="32"/>
          <w:szCs w:val="32"/>
          <w:highlight w:val="none"/>
          <w:lang w:val="en-US" w:eastAsia="zh-CN" w:bidi="ar-SA"/>
        </w:rPr>
        <w:t>%。</w:t>
      </w:r>
      <w:bookmarkStart w:id="40" w:name="OLE_LINK1"/>
      <w:r>
        <w:rPr>
          <w:rFonts w:hint="eastAsia" w:ascii="Times New Roman" w:hAnsi="Times New Roman" w:eastAsia="仿宋_GB2312" w:cs="仿宋_GB2312"/>
          <w:b w:val="0"/>
          <w:bCs w:val="0"/>
          <w:color w:val="auto"/>
          <w:kern w:val="2"/>
          <w:sz w:val="32"/>
          <w:szCs w:val="32"/>
          <w:highlight w:val="none"/>
          <w:lang w:val="en-US" w:eastAsia="zh-CN" w:bidi="ar-SA"/>
        </w:rPr>
        <w:t>主要原因是</w:t>
      </w:r>
      <w:r>
        <w:rPr>
          <w:rFonts w:hint="eastAsia" w:eastAsia="仿宋_GB2312" w:cs="仿宋_GB2312"/>
          <w:b w:val="0"/>
          <w:bCs w:val="0"/>
          <w:color w:val="auto"/>
          <w:kern w:val="2"/>
          <w:sz w:val="32"/>
          <w:szCs w:val="32"/>
          <w:highlight w:val="none"/>
          <w:lang w:val="en-US" w:eastAsia="zh-CN" w:bidi="ar-SA"/>
        </w:rPr>
        <w:t>省计量院严格落实过紧日子的要求，压减“三公”经费支出。</w:t>
      </w:r>
    </w:p>
    <w:bookmarkEnd w:id="40"/>
    <w:p>
      <w:pPr>
        <w:spacing w:line="600" w:lineRule="exact"/>
        <w:ind w:firstLine="64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其中：公务用车购置支出</w:t>
      </w:r>
      <w:r>
        <w:rPr>
          <w:rFonts w:hint="eastAsia" w:eastAsia="仿宋_GB2312" w:cs="仿宋_GB2312"/>
          <w:b w:val="0"/>
          <w:bCs w:val="0"/>
          <w:color w:val="auto"/>
          <w:kern w:val="2"/>
          <w:sz w:val="32"/>
          <w:szCs w:val="32"/>
          <w:highlight w:val="none"/>
          <w:lang w:val="en-US" w:eastAsia="zh-CN" w:bidi="ar-SA"/>
        </w:rPr>
        <w:t>0</w:t>
      </w:r>
      <w:r>
        <w:rPr>
          <w:rFonts w:hint="eastAsia" w:ascii="Times New Roman" w:hAnsi="Times New Roman" w:eastAsia="仿宋_GB2312" w:cs="仿宋_GB2312"/>
          <w:b w:val="0"/>
          <w:bCs w:val="0"/>
          <w:color w:val="auto"/>
          <w:kern w:val="2"/>
          <w:sz w:val="32"/>
          <w:szCs w:val="32"/>
          <w:highlight w:val="none"/>
          <w:lang w:val="en-US" w:eastAsia="zh-CN" w:bidi="ar-SA"/>
        </w:rPr>
        <w:t>万元。全年按规定更新购置公务用车</w:t>
      </w:r>
      <w:r>
        <w:rPr>
          <w:rFonts w:hint="eastAsia" w:eastAsia="仿宋_GB2312" w:cs="仿宋_GB2312"/>
          <w:b w:val="0"/>
          <w:bCs w:val="0"/>
          <w:color w:val="auto"/>
          <w:kern w:val="2"/>
          <w:sz w:val="32"/>
          <w:szCs w:val="32"/>
          <w:highlight w:val="none"/>
          <w:lang w:val="en-US" w:eastAsia="zh-CN" w:bidi="ar-SA"/>
        </w:rPr>
        <w:t>0</w:t>
      </w:r>
      <w:r>
        <w:rPr>
          <w:rFonts w:hint="eastAsia" w:ascii="Times New Roman" w:hAnsi="Times New Roman" w:eastAsia="仿宋_GB2312" w:cs="仿宋_GB2312"/>
          <w:b w:val="0"/>
          <w:bCs w:val="0"/>
          <w:color w:val="auto"/>
          <w:kern w:val="2"/>
          <w:sz w:val="32"/>
          <w:szCs w:val="32"/>
          <w:highlight w:val="none"/>
          <w:lang w:val="en-US" w:eastAsia="zh-CN" w:bidi="ar-SA"/>
        </w:rPr>
        <w:t>辆，其中：轿车</w:t>
      </w:r>
      <w:r>
        <w:rPr>
          <w:rFonts w:hint="eastAsia" w:eastAsia="仿宋_GB2312" w:cs="仿宋_GB2312"/>
          <w:b w:val="0"/>
          <w:bCs w:val="0"/>
          <w:color w:val="auto"/>
          <w:kern w:val="2"/>
          <w:sz w:val="32"/>
          <w:szCs w:val="32"/>
          <w:highlight w:val="none"/>
          <w:lang w:val="en-US" w:eastAsia="zh-CN" w:bidi="ar-SA"/>
        </w:rPr>
        <w:t>0</w:t>
      </w:r>
      <w:r>
        <w:rPr>
          <w:rFonts w:hint="eastAsia" w:ascii="Times New Roman" w:hAnsi="Times New Roman" w:eastAsia="仿宋_GB2312" w:cs="仿宋_GB2312"/>
          <w:b w:val="0"/>
          <w:bCs w:val="0"/>
          <w:color w:val="auto"/>
          <w:kern w:val="2"/>
          <w:sz w:val="32"/>
          <w:szCs w:val="32"/>
          <w:highlight w:val="none"/>
          <w:lang w:val="en-US" w:eastAsia="zh-CN" w:bidi="ar-SA"/>
        </w:rPr>
        <w:t>辆、金额</w:t>
      </w:r>
      <w:r>
        <w:rPr>
          <w:rFonts w:hint="eastAsia" w:eastAsia="仿宋_GB2312" w:cs="仿宋_GB2312"/>
          <w:b w:val="0"/>
          <w:bCs w:val="0"/>
          <w:color w:val="auto"/>
          <w:kern w:val="2"/>
          <w:sz w:val="32"/>
          <w:szCs w:val="32"/>
          <w:highlight w:val="none"/>
          <w:lang w:val="en-US" w:eastAsia="zh-CN" w:bidi="ar-SA"/>
        </w:rPr>
        <w:t>0</w:t>
      </w:r>
      <w:r>
        <w:rPr>
          <w:rFonts w:hint="eastAsia" w:ascii="Times New Roman" w:hAnsi="Times New Roman" w:eastAsia="仿宋_GB2312" w:cs="仿宋_GB2312"/>
          <w:b w:val="0"/>
          <w:bCs w:val="0"/>
          <w:color w:val="auto"/>
          <w:kern w:val="2"/>
          <w:sz w:val="32"/>
          <w:szCs w:val="32"/>
          <w:highlight w:val="none"/>
          <w:lang w:val="en-US" w:eastAsia="zh-CN" w:bidi="ar-SA"/>
        </w:rPr>
        <w:t>万元，越野车</w:t>
      </w:r>
      <w:r>
        <w:rPr>
          <w:rFonts w:hint="eastAsia" w:eastAsia="仿宋_GB2312" w:cs="仿宋_GB2312"/>
          <w:b w:val="0"/>
          <w:bCs w:val="0"/>
          <w:color w:val="auto"/>
          <w:kern w:val="2"/>
          <w:sz w:val="32"/>
          <w:szCs w:val="32"/>
          <w:highlight w:val="none"/>
          <w:lang w:val="en-US" w:eastAsia="zh-CN" w:bidi="ar-SA"/>
        </w:rPr>
        <w:t>0</w:t>
      </w:r>
      <w:r>
        <w:rPr>
          <w:rFonts w:hint="eastAsia" w:ascii="Times New Roman" w:hAnsi="Times New Roman" w:eastAsia="仿宋_GB2312" w:cs="仿宋_GB2312"/>
          <w:b w:val="0"/>
          <w:bCs w:val="0"/>
          <w:color w:val="auto"/>
          <w:kern w:val="2"/>
          <w:sz w:val="32"/>
          <w:szCs w:val="32"/>
          <w:highlight w:val="none"/>
          <w:lang w:val="en-US" w:eastAsia="zh-CN" w:bidi="ar-SA"/>
        </w:rPr>
        <w:t>辆、金额</w:t>
      </w:r>
      <w:r>
        <w:rPr>
          <w:rFonts w:hint="eastAsia" w:eastAsia="仿宋_GB2312" w:cs="仿宋_GB2312"/>
          <w:b w:val="0"/>
          <w:bCs w:val="0"/>
          <w:color w:val="auto"/>
          <w:kern w:val="2"/>
          <w:sz w:val="32"/>
          <w:szCs w:val="32"/>
          <w:highlight w:val="none"/>
          <w:lang w:val="en-US" w:eastAsia="zh-CN" w:bidi="ar-SA"/>
        </w:rPr>
        <w:t>0</w:t>
      </w:r>
      <w:r>
        <w:rPr>
          <w:rFonts w:hint="eastAsia" w:ascii="Times New Roman" w:hAnsi="Times New Roman" w:eastAsia="仿宋_GB2312" w:cs="仿宋_GB2312"/>
          <w:b w:val="0"/>
          <w:bCs w:val="0"/>
          <w:color w:val="auto"/>
          <w:kern w:val="2"/>
          <w:sz w:val="32"/>
          <w:szCs w:val="32"/>
          <w:highlight w:val="none"/>
          <w:lang w:val="en-US" w:eastAsia="zh-CN" w:bidi="ar-SA"/>
        </w:rPr>
        <w:t>万元，载客汽车</w:t>
      </w:r>
      <w:r>
        <w:rPr>
          <w:rFonts w:hint="eastAsia" w:eastAsia="仿宋_GB2312" w:cs="仿宋_GB2312"/>
          <w:b w:val="0"/>
          <w:bCs w:val="0"/>
          <w:color w:val="auto"/>
          <w:kern w:val="2"/>
          <w:sz w:val="32"/>
          <w:szCs w:val="32"/>
          <w:highlight w:val="none"/>
          <w:lang w:val="en-US" w:eastAsia="zh-CN" w:bidi="ar-SA"/>
        </w:rPr>
        <w:t>0</w:t>
      </w:r>
      <w:r>
        <w:rPr>
          <w:rFonts w:hint="eastAsia" w:ascii="Times New Roman" w:hAnsi="Times New Roman" w:eastAsia="仿宋_GB2312" w:cs="仿宋_GB2312"/>
          <w:b w:val="0"/>
          <w:bCs w:val="0"/>
          <w:color w:val="auto"/>
          <w:kern w:val="2"/>
          <w:sz w:val="32"/>
          <w:szCs w:val="32"/>
          <w:highlight w:val="none"/>
          <w:lang w:val="en-US" w:eastAsia="zh-CN" w:bidi="ar-SA"/>
        </w:rPr>
        <w:t>辆、金额</w:t>
      </w:r>
      <w:r>
        <w:rPr>
          <w:rFonts w:hint="eastAsia" w:eastAsia="仿宋_GB2312" w:cs="仿宋_GB2312"/>
          <w:b w:val="0"/>
          <w:bCs w:val="0"/>
          <w:color w:val="auto"/>
          <w:kern w:val="2"/>
          <w:sz w:val="32"/>
          <w:szCs w:val="32"/>
          <w:highlight w:val="none"/>
          <w:lang w:val="en-US" w:eastAsia="zh-CN" w:bidi="ar-SA"/>
        </w:rPr>
        <w:t>0</w:t>
      </w:r>
      <w:r>
        <w:rPr>
          <w:rFonts w:hint="eastAsia" w:ascii="Times New Roman" w:hAnsi="Times New Roman" w:eastAsia="仿宋_GB2312" w:cs="仿宋_GB2312"/>
          <w:b w:val="0"/>
          <w:bCs w:val="0"/>
          <w:color w:val="auto"/>
          <w:kern w:val="2"/>
          <w:sz w:val="32"/>
          <w:szCs w:val="32"/>
          <w:highlight w:val="none"/>
          <w:lang w:val="en-US" w:eastAsia="zh-CN" w:bidi="ar-SA"/>
        </w:rPr>
        <w:t>万元。截至202</w:t>
      </w:r>
      <w:r>
        <w:rPr>
          <w:rFonts w:hint="eastAsia" w:eastAsia="仿宋_GB2312" w:cs="仿宋_GB2312"/>
          <w:b w:val="0"/>
          <w:bCs w:val="0"/>
          <w:color w:val="auto"/>
          <w:kern w:val="2"/>
          <w:sz w:val="32"/>
          <w:szCs w:val="32"/>
          <w:highlight w:val="none"/>
          <w:lang w:val="en-US" w:eastAsia="zh-CN" w:bidi="ar-SA"/>
        </w:rPr>
        <w:t>5</w:t>
      </w:r>
      <w:r>
        <w:rPr>
          <w:rFonts w:hint="eastAsia" w:ascii="Times New Roman" w:hAnsi="Times New Roman" w:eastAsia="仿宋_GB2312" w:cs="仿宋_GB2312"/>
          <w:b w:val="0"/>
          <w:bCs w:val="0"/>
          <w:color w:val="auto"/>
          <w:kern w:val="2"/>
          <w:sz w:val="32"/>
          <w:szCs w:val="32"/>
          <w:highlight w:val="none"/>
          <w:lang w:val="en-US" w:eastAsia="zh-CN" w:bidi="ar-SA"/>
        </w:rPr>
        <w:t>年12月31日，单位共有公务用车</w:t>
      </w:r>
      <w:r>
        <w:rPr>
          <w:rFonts w:hint="eastAsia" w:eastAsia="仿宋_GB2312" w:cs="仿宋_GB2312"/>
          <w:b w:val="0"/>
          <w:bCs w:val="0"/>
          <w:color w:val="auto"/>
          <w:kern w:val="2"/>
          <w:sz w:val="32"/>
          <w:szCs w:val="32"/>
          <w:highlight w:val="none"/>
          <w:lang w:val="en-US" w:eastAsia="zh-CN" w:bidi="ar-SA"/>
        </w:rPr>
        <w:t>3</w:t>
      </w:r>
      <w:r>
        <w:rPr>
          <w:rFonts w:hint="eastAsia" w:ascii="Times New Roman" w:hAnsi="Times New Roman" w:eastAsia="仿宋_GB2312" w:cs="仿宋_GB2312"/>
          <w:b w:val="0"/>
          <w:bCs w:val="0"/>
          <w:color w:val="auto"/>
          <w:kern w:val="2"/>
          <w:sz w:val="32"/>
          <w:szCs w:val="32"/>
          <w:highlight w:val="none"/>
          <w:lang w:val="en-US" w:eastAsia="zh-CN" w:bidi="ar-SA"/>
        </w:rPr>
        <w:t>辆，其中：轿车</w:t>
      </w:r>
      <w:r>
        <w:rPr>
          <w:rFonts w:hint="eastAsia" w:eastAsia="仿宋_GB2312" w:cs="仿宋_GB2312"/>
          <w:b w:val="0"/>
          <w:bCs w:val="0"/>
          <w:color w:val="auto"/>
          <w:kern w:val="2"/>
          <w:sz w:val="32"/>
          <w:szCs w:val="32"/>
          <w:highlight w:val="none"/>
          <w:lang w:val="en-US" w:eastAsia="zh-CN" w:bidi="ar-SA"/>
        </w:rPr>
        <w:t>1</w:t>
      </w:r>
      <w:r>
        <w:rPr>
          <w:rFonts w:hint="eastAsia" w:ascii="Times New Roman" w:hAnsi="Times New Roman" w:eastAsia="仿宋_GB2312" w:cs="仿宋_GB2312"/>
          <w:b w:val="0"/>
          <w:bCs w:val="0"/>
          <w:color w:val="auto"/>
          <w:kern w:val="2"/>
          <w:sz w:val="32"/>
          <w:szCs w:val="32"/>
          <w:highlight w:val="none"/>
          <w:lang w:val="en-US" w:eastAsia="zh-CN" w:bidi="ar-SA"/>
        </w:rPr>
        <w:t>辆、</w:t>
      </w:r>
      <w:r>
        <w:rPr>
          <w:rFonts w:hint="eastAsia" w:eastAsia="仿宋_GB2312" w:cs="仿宋_GB2312"/>
          <w:b w:val="0"/>
          <w:bCs w:val="0"/>
          <w:color w:val="auto"/>
          <w:kern w:val="2"/>
          <w:sz w:val="32"/>
          <w:szCs w:val="32"/>
          <w:highlight w:val="none"/>
          <w:lang w:val="en-US" w:eastAsia="zh-CN" w:bidi="ar-SA"/>
        </w:rPr>
        <w:t>专业技术车辆1辆、</w:t>
      </w:r>
      <w:r>
        <w:rPr>
          <w:rFonts w:hint="eastAsia" w:ascii="Times New Roman" w:hAnsi="Times New Roman" w:eastAsia="仿宋_GB2312" w:cs="仿宋_GB2312"/>
          <w:b w:val="0"/>
          <w:bCs w:val="0"/>
          <w:color w:val="auto"/>
          <w:kern w:val="2"/>
          <w:sz w:val="32"/>
          <w:szCs w:val="32"/>
          <w:highlight w:val="none"/>
          <w:lang w:val="en-US" w:eastAsia="zh-CN" w:bidi="ar-SA"/>
        </w:rPr>
        <w:t>越野车</w:t>
      </w:r>
      <w:r>
        <w:rPr>
          <w:rFonts w:hint="eastAsia" w:eastAsia="仿宋_GB2312" w:cs="仿宋_GB2312"/>
          <w:b w:val="0"/>
          <w:bCs w:val="0"/>
          <w:color w:val="auto"/>
          <w:kern w:val="2"/>
          <w:sz w:val="32"/>
          <w:szCs w:val="32"/>
          <w:highlight w:val="none"/>
          <w:lang w:val="en-US" w:eastAsia="zh-CN" w:bidi="ar-SA"/>
        </w:rPr>
        <w:t>0</w:t>
      </w:r>
      <w:r>
        <w:rPr>
          <w:rFonts w:hint="eastAsia" w:ascii="Times New Roman" w:hAnsi="Times New Roman" w:eastAsia="仿宋_GB2312" w:cs="仿宋_GB2312"/>
          <w:b w:val="0"/>
          <w:bCs w:val="0"/>
          <w:color w:val="auto"/>
          <w:kern w:val="2"/>
          <w:sz w:val="32"/>
          <w:szCs w:val="32"/>
          <w:highlight w:val="none"/>
          <w:lang w:val="en-US" w:eastAsia="zh-CN" w:bidi="ar-SA"/>
        </w:rPr>
        <w:t>辆、载客汽车</w:t>
      </w:r>
      <w:r>
        <w:rPr>
          <w:rFonts w:hint="eastAsia" w:eastAsia="仿宋_GB2312" w:cs="仿宋_GB2312"/>
          <w:b w:val="0"/>
          <w:bCs w:val="0"/>
          <w:color w:val="auto"/>
          <w:kern w:val="2"/>
          <w:sz w:val="32"/>
          <w:szCs w:val="32"/>
          <w:highlight w:val="none"/>
          <w:lang w:val="en-US" w:eastAsia="zh-CN" w:bidi="ar-SA"/>
        </w:rPr>
        <w:t>1</w:t>
      </w:r>
      <w:r>
        <w:rPr>
          <w:rFonts w:hint="eastAsia" w:ascii="Times New Roman" w:hAnsi="Times New Roman" w:eastAsia="仿宋_GB2312" w:cs="仿宋_GB2312"/>
          <w:b w:val="0"/>
          <w:bCs w:val="0"/>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公务用车运行维护费支出</w:t>
      </w:r>
      <w:r>
        <w:rPr>
          <w:rFonts w:hint="eastAsia" w:eastAsia="仿宋_GB2312" w:cs="仿宋_GB2312"/>
          <w:b w:val="0"/>
          <w:bCs w:val="0"/>
          <w:color w:val="auto"/>
          <w:kern w:val="2"/>
          <w:sz w:val="32"/>
          <w:szCs w:val="32"/>
          <w:highlight w:val="none"/>
          <w:lang w:val="en-US" w:eastAsia="zh-CN" w:bidi="ar-SA"/>
        </w:rPr>
        <w:t>0.99</w:t>
      </w:r>
      <w:r>
        <w:rPr>
          <w:rFonts w:hint="eastAsia" w:ascii="Times New Roman" w:hAnsi="Times New Roman" w:eastAsia="仿宋_GB2312" w:cs="仿宋_GB2312"/>
          <w:b w:val="0"/>
          <w:bCs w:val="0"/>
          <w:color w:val="auto"/>
          <w:kern w:val="2"/>
          <w:sz w:val="32"/>
          <w:szCs w:val="32"/>
          <w:highlight w:val="none"/>
          <w:lang w:val="en-US" w:eastAsia="zh-CN" w:bidi="ar-SA"/>
        </w:rPr>
        <w:t>万元。主要用于</w:t>
      </w:r>
      <w:r>
        <w:rPr>
          <w:rFonts w:hint="eastAsia" w:eastAsia="仿宋_GB2312" w:cs="仿宋_GB2312"/>
          <w:b w:val="0"/>
          <w:bCs w:val="0"/>
          <w:color w:val="auto"/>
          <w:kern w:val="2"/>
          <w:sz w:val="32"/>
          <w:szCs w:val="32"/>
          <w:highlight w:val="none"/>
          <w:lang w:val="en-US" w:eastAsia="zh-CN" w:bidi="ar-SA"/>
        </w:rPr>
        <w:t>开</w:t>
      </w:r>
      <w:r>
        <w:rPr>
          <w:rFonts w:hint="eastAsia" w:ascii="Times New Roman" w:hAnsi="Times New Roman" w:eastAsia="仿宋_GB2312" w:cs="仿宋_GB2312"/>
          <w:b w:val="0"/>
          <w:bCs w:val="0"/>
          <w:color w:val="auto"/>
          <w:kern w:val="2"/>
          <w:sz w:val="32"/>
          <w:szCs w:val="32"/>
          <w:highlight w:val="none"/>
          <w:lang w:val="en-US" w:eastAsia="zh-CN" w:bidi="ar-SA"/>
        </w:rPr>
        <w:t>展</w:t>
      </w:r>
      <w:r>
        <w:rPr>
          <w:rFonts w:hint="eastAsia" w:eastAsia="仿宋_GB2312" w:cs="仿宋_GB2312"/>
          <w:b w:val="0"/>
          <w:bCs w:val="0"/>
          <w:color w:val="auto"/>
          <w:kern w:val="2"/>
          <w:sz w:val="32"/>
          <w:szCs w:val="32"/>
          <w:highlight w:val="none"/>
          <w:lang w:val="en-US" w:eastAsia="zh-CN" w:bidi="ar-SA"/>
        </w:rPr>
        <w:t>监督抽查</w:t>
      </w:r>
      <w:r>
        <w:rPr>
          <w:rFonts w:hint="eastAsia" w:ascii="Times New Roman" w:hAnsi="Times New Roman" w:eastAsia="仿宋_GB2312" w:cs="仿宋_GB2312"/>
          <w:b w:val="0"/>
          <w:bCs w:val="0"/>
          <w:color w:val="auto"/>
          <w:kern w:val="2"/>
          <w:sz w:val="32"/>
          <w:szCs w:val="32"/>
          <w:highlight w:val="none"/>
          <w:lang w:val="en-US" w:eastAsia="zh-CN" w:bidi="ar-SA"/>
        </w:rPr>
        <w:t>业务</w:t>
      </w:r>
      <w:r>
        <w:rPr>
          <w:rFonts w:hint="eastAsia" w:eastAsia="仿宋_GB2312" w:cs="仿宋_GB2312"/>
          <w:b w:val="0"/>
          <w:bCs w:val="0"/>
          <w:color w:val="auto"/>
          <w:kern w:val="2"/>
          <w:sz w:val="32"/>
          <w:szCs w:val="32"/>
          <w:highlight w:val="none"/>
          <w:lang w:val="en-US" w:eastAsia="zh-CN" w:bidi="ar-SA"/>
        </w:rPr>
        <w:t>等</w:t>
      </w:r>
      <w:r>
        <w:rPr>
          <w:rFonts w:hint="eastAsia" w:ascii="Times New Roman" w:hAnsi="Times New Roman" w:eastAsia="仿宋_GB2312" w:cs="仿宋_GB2312"/>
          <w:b w:val="0"/>
          <w:bCs w:val="0"/>
          <w:color w:val="auto"/>
          <w:kern w:val="2"/>
          <w:sz w:val="32"/>
          <w:szCs w:val="32"/>
          <w:highlight w:val="none"/>
          <w:lang w:val="en-US" w:eastAsia="zh-CN" w:bidi="ar-SA"/>
        </w:rPr>
        <w:t>活动开支的所需的公务用车燃料费、维修费、过路过桥费、保险费等支出。</w:t>
      </w:r>
    </w:p>
    <w:p>
      <w:pPr>
        <w:spacing w:line="600" w:lineRule="exact"/>
        <w:ind w:firstLine="640"/>
        <w:rPr>
          <w:rFonts w:hint="default"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3.公务接待费支出</w:t>
      </w:r>
      <w:r>
        <w:rPr>
          <w:rFonts w:hint="eastAsia" w:eastAsia="仿宋_GB2312" w:cs="仿宋_GB2312"/>
          <w:b w:val="0"/>
          <w:bCs w:val="0"/>
          <w:color w:val="auto"/>
          <w:kern w:val="2"/>
          <w:sz w:val="32"/>
          <w:szCs w:val="32"/>
          <w:highlight w:val="none"/>
          <w:lang w:val="en-US" w:eastAsia="zh-CN" w:bidi="ar-SA"/>
        </w:rPr>
        <w:t>0.25</w:t>
      </w:r>
      <w:r>
        <w:rPr>
          <w:rFonts w:hint="eastAsia" w:ascii="Times New Roman" w:hAnsi="Times New Roman" w:eastAsia="仿宋_GB2312" w:cs="仿宋_GB2312"/>
          <w:b w:val="0"/>
          <w:bCs w:val="0"/>
          <w:color w:val="auto"/>
          <w:kern w:val="2"/>
          <w:sz w:val="32"/>
          <w:szCs w:val="32"/>
          <w:highlight w:val="none"/>
          <w:lang w:val="en-US" w:eastAsia="zh-CN" w:bidi="ar-SA"/>
        </w:rPr>
        <w:t>万元，完成预算</w:t>
      </w:r>
      <w:r>
        <w:rPr>
          <w:rFonts w:hint="eastAsia" w:eastAsia="仿宋_GB2312" w:cs="仿宋_GB2312"/>
          <w:b w:val="0"/>
          <w:bCs w:val="0"/>
          <w:color w:val="auto"/>
          <w:kern w:val="2"/>
          <w:sz w:val="32"/>
          <w:szCs w:val="32"/>
          <w:highlight w:val="none"/>
          <w:lang w:val="en-US" w:eastAsia="zh-CN" w:bidi="ar-SA"/>
        </w:rPr>
        <w:t>0.42</w:t>
      </w:r>
      <w:r>
        <w:rPr>
          <w:rFonts w:hint="eastAsia" w:ascii="Times New Roman" w:hAnsi="Times New Roman" w:eastAsia="仿宋_GB2312" w:cs="仿宋_GB2312"/>
          <w:b w:val="0"/>
          <w:bCs w:val="0"/>
          <w:color w:val="auto"/>
          <w:kern w:val="2"/>
          <w:sz w:val="32"/>
          <w:szCs w:val="32"/>
          <w:highlight w:val="none"/>
          <w:lang w:val="en-US" w:eastAsia="zh-CN" w:bidi="ar-SA"/>
        </w:rPr>
        <w:t>%。公务接待费支出决算比</w:t>
      </w:r>
      <w:r>
        <w:rPr>
          <w:rFonts w:hint="eastAsia" w:eastAsia="仿宋_GB2312" w:cs="仿宋_GB2312"/>
          <w:b w:val="0"/>
          <w:bCs w:val="0"/>
          <w:color w:val="auto"/>
          <w:kern w:val="2"/>
          <w:sz w:val="32"/>
          <w:szCs w:val="32"/>
          <w:highlight w:val="none"/>
          <w:lang w:val="en-US" w:eastAsia="zh-CN" w:bidi="ar-SA"/>
        </w:rPr>
        <w:t>上</w:t>
      </w:r>
      <w:r>
        <w:rPr>
          <w:rFonts w:hint="eastAsia" w:ascii="Times New Roman" w:hAnsi="Times New Roman" w:eastAsia="仿宋_GB2312" w:cs="仿宋_GB2312"/>
          <w:b w:val="0"/>
          <w:bCs w:val="0"/>
          <w:color w:val="auto"/>
          <w:kern w:val="2"/>
          <w:sz w:val="32"/>
          <w:szCs w:val="32"/>
          <w:highlight w:val="none"/>
          <w:lang w:val="en-US" w:eastAsia="zh-CN" w:bidi="ar-SA"/>
        </w:rPr>
        <w:t>年度减少</w:t>
      </w:r>
      <w:r>
        <w:rPr>
          <w:rFonts w:hint="eastAsia" w:eastAsia="仿宋_GB2312" w:cs="仿宋_GB2312"/>
          <w:b w:val="0"/>
          <w:bCs w:val="0"/>
          <w:color w:val="auto"/>
          <w:kern w:val="2"/>
          <w:sz w:val="32"/>
          <w:szCs w:val="32"/>
          <w:highlight w:val="none"/>
          <w:lang w:val="en-US" w:eastAsia="zh-CN" w:bidi="ar-SA"/>
        </w:rPr>
        <w:t>0.75</w:t>
      </w:r>
      <w:r>
        <w:rPr>
          <w:rFonts w:hint="eastAsia" w:ascii="Times New Roman" w:hAnsi="Times New Roman" w:eastAsia="仿宋_GB2312" w:cs="仿宋_GB2312"/>
          <w:b w:val="0"/>
          <w:bCs w:val="0"/>
          <w:color w:val="auto"/>
          <w:kern w:val="2"/>
          <w:sz w:val="32"/>
          <w:szCs w:val="32"/>
          <w:highlight w:val="none"/>
          <w:lang w:val="en-US" w:eastAsia="zh-CN" w:bidi="ar-SA"/>
        </w:rPr>
        <w:t>万元，下降</w:t>
      </w:r>
      <w:r>
        <w:rPr>
          <w:rFonts w:hint="eastAsia" w:eastAsia="仿宋_GB2312" w:cs="仿宋_GB2312"/>
          <w:b w:val="0"/>
          <w:bCs w:val="0"/>
          <w:color w:val="auto"/>
          <w:kern w:val="2"/>
          <w:sz w:val="32"/>
          <w:szCs w:val="32"/>
          <w:highlight w:val="none"/>
          <w:lang w:val="en-US" w:eastAsia="zh-CN" w:bidi="ar-SA"/>
        </w:rPr>
        <w:t>75</w:t>
      </w:r>
      <w:r>
        <w:rPr>
          <w:rFonts w:hint="eastAsia" w:ascii="Times New Roman" w:hAnsi="Times New Roman" w:eastAsia="仿宋_GB2312" w:cs="仿宋_GB2312"/>
          <w:b w:val="0"/>
          <w:bCs w:val="0"/>
          <w:color w:val="auto"/>
          <w:kern w:val="2"/>
          <w:sz w:val="32"/>
          <w:szCs w:val="32"/>
          <w:highlight w:val="none"/>
          <w:lang w:val="en-US" w:eastAsia="zh-CN" w:bidi="ar-SA"/>
        </w:rPr>
        <w:t>%。主要原因是</w:t>
      </w:r>
      <w:r>
        <w:rPr>
          <w:rFonts w:hint="eastAsia" w:eastAsia="仿宋_GB2312" w:cs="仿宋_GB2312"/>
          <w:b w:val="0"/>
          <w:bCs w:val="0"/>
          <w:color w:val="auto"/>
          <w:kern w:val="2"/>
          <w:sz w:val="32"/>
          <w:szCs w:val="32"/>
          <w:highlight w:val="none"/>
          <w:lang w:val="en-US" w:eastAsia="zh-CN" w:bidi="ar-SA"/>
        </w:rPr>
        <w:t>省计量院严格落实过紧日子的要求，压减“三公”经费支出。</w:t>
      </w:r>
      <w:r>
        <w:rPr>
          <w:rFonts w:hint="eastAsia" w:ascii="Times New Roman" w:hAnsi="Times New Roman" w:eastAsia="仿宋_GB2312" w:cs="仿宋_GB2312"/>
          <w:b w:val="0"/>
          <w:bCs w:val="0"/>
          <w:color w:val="auto"/>
          <w:kern w:val="2"/>
          <w:sz w:val="32"/>
          <w:szCs w:val="32"/>
          <w:highlight w:val="none"/>
          <w:lang w:val="en-US" w:eastAsia="zh-CN" w:bidi="ar-SA"/>
        </w:rPr>
        <w:t>其中：国内公务接待支出</w:t>
      </w:r>
      <w:r>
        <w:rPr>
          <w:rFonts w:hint="eastAsia" w:eastAsia="仿宋_GB2312" w:cs="仿宋_GB2312"/>
          <w:b w:val="0"/>
          <w:bCs w:val="0"/>
          <w:color w:val="auto"/>
          <w:kern w:val="2"/>
          <w:sz w:val="32"/>
          <w:szCs w:val="32"/>
          <w:highlight w:val="none"/>
          <w:lang w:val="en-US" w:eastAsia="zh-CN" w:bidi="ar-SA"/>
        </w:rPr>
        <w:t>0.25</w:t>
      </w:r>
      <w:r>
        <w:rPr>
          <w:rFonts w:hint="eastAsia" w:ascii="Times New Roman" w:hAnsi="Times New Roman" w:eastAsia="仿宋_GB2312" w:cs="仿宋_GB2312"/>
          <w:b w:val="0"/>
          <w:bCs w:val="0"/>
          <w:color w:val="auto"/>
          <w:kern w:val="2"/>
          <w:sz w:val="32"/>
          <w:szCs w:val="32"/>
          <w:highlight w:val="none"/>
          <w:lang w:val="en-US" w:eastAsia="zh-CN" w:bidi="ar-SA"/>
        </w:rPr>
        <w:t>万元，主要用于</w:t>
      </w:r>
      <w:r>
        <w:rPr>
          <w:rFonts w:hint="eastAsia" w:eastAsia="仿宋_GB2312" w:cs="仿宋_GB2312"/>
          <w:b w:val="0"/>
          <w:bCs w:val="0"/>
          <w:color w:val="auto"/>
          <w:kern w:val="2"/>
          <w:sz w:val="32"/>
          <w:szCs w:val="32"/>
          <w:highlight w:val="none"/>
          <w:lang w:val="en-US" w:eastAsia="zh-CN" w:bidi="ar-SA"/>
        </w:rPr>
        <w:t>重庆市计量质量检测研究院、四川天府检验检测集团有限公司</w:t>
      </w:r>
      <w:r>
        <w:rPr>
          <w:rFonts w:hint="eastAsia" w:ascii="Times New Roman" w:hAnsi="Times New Roman" w:eastAsia="仿宋_GB2312" w:cs="仿宋_GB2312"/>
          <w:b w:val="0"/>
          <w:bCs w:val="0"/>
          <w:color w:val="auto"/>
          <w:kern w:val="2"/>
          <w:sz w:val="32"/>
          <w:szCs w:val="32"/>
          <w:highlight w:val="none"/>
          <w:lang w:val="en-US" w:eastAsia="zh-CN" w:bidi="ar-SA"/>
        </w:rPr>
        <w:t>（来我院开展业务活动调研开支的餐费）。国内公务接待</w:t>
      </w:r>
      <w:r>
        <w:rPr>
          <w:rFonts w:hint="eastAsia" w:eastAsia="仿宋_GB2312" w:cs="仿宋_GB2312"/>
          <w:b w:val="0"/>
          <w:bCs w:val="0"/>
          <w:color w:val="auto"/>
          <w:kern w:val="2"/>
          <w:sz w:val="32"/>
          <w:szCs w:val="32"/>
          <w:highlight w:val="none"/>
          <w:lang w:val="en-US" w:eastAsia="zh-CN" w:bidi="ar-SA"/>
        </w:rPr>
        <w:t>2</w:t>
      </w:r>
      <w:r>
        <w:rPr>
          <w:rFonts w:hint="eastAsia" w:ascii="Times New Roman" w:hAnsi="Times New Roman" w:eastAsia="仿宋_GB2312" w:cs="仿宋_GB2312"/>
          <w:b w:val="0"/>
          <w:bCs w:val="0"/>
          <w:color w:val="auto"/>
          <w:kern w:val="2"/>
          <w:sz w:val="32"/>
          <w:szCs w:val="32"/>
          <w:highlight w:val="none"/>
          <w:lang w:val="en-US" w:eastAsia="zh-CN" w:bidi="ar-SA"/>
        </w:rPr>
        <w:t>批次，</w:t>
      </w:r>
      <w:r>
        <w:rPr>
          <w:rFonts w:hint="eastAsia" w:eastAsia="仿宋_GB2312" w:cs="仿宋_GB2312"/>
          <w:b w:val="0"/>
          <w:bCs w:val="0"/>
          <w:color w:val="auto"/>
          <w:kern w:val="2"/>
          <w:sz w:val="32"/>
          <w:szCs w:val="32"/>
          <w:highlight w:val="none"/>
          <w:lang w:val="en-US" w:eastAsia="zh-CN" w:bidi="ar-SA"/>
        </w:rPr>
        <w:t>17</w:t>
      </w:r>
      <w:r>
        <w:rPr>
          <w:rFonts w:hint="eastAsia" w:ascii="Times New Roman" w:hAnsi="Times New Roman" w:eastAsia="仿宋_GB2312" w:cs="仿宋_GB2312"/>
          <w:b w:val="0"/>
          <w:bCs w:val="0"/>
          <w:color w:val="auto"/>
          <w:kern w:val="2"/>
          <w:sz w:val="32"/>
          <w:szCs w:val="32"/>
          <w:highlight w:val="none"/>
          <w:lang w:val="en-US" w:eastAsia="zh-CN" w:bidi="ar-SA"/>
        </w:rPr>
        <w:t>人次（不包括陪同人员），共计支出</w:t>
      </w:r>
      <w:r>
        <w:rPr>
          <w:rFonts w:hint="eastAsia" w:eastAsia="仿宋_GB2312" w:cs="仿宋_GB2312"/>
          <w:b w:val="0"/>
          <w:bCs w:val="0"/>
          <w:color w:val="auto"/>
          <w:kern w:val="2"/>
          <w:sz w:val="32"/>
          <w:szCs w:val="32"/>
          <w:highlight w:val="none"/>
          <w:lang w:val="en-US" w:eastAsia="zh-CN" w:bidi="ar-SA"/>
        </w:rPr>
        <w:t>0.25</w:t>
      </w:r>
      <w:r>
        <w:rPr>
          <w:rFonts w:hint="eastAsia" w:ascii="Times New Roman" w:hAnsi="Times New Roman" w:eastAsia="仿宋_GB2312" w:cs="仿宋_GB2312"/>
          <w:b w:val="0"/>
          <w:bCs w:val="0"/>
          <w:color w:val="auto"/>
          <w:kern w:val="2"/>
          <w:sz w:val="32"/>
          <w:szCs w:val="32"/>
          <w:highlight w:val="none"/>
          <w:lang w:val="en-US" w:eastAsia="zh-CN" w:bidi="ar-SA"/>
        </w:rPr>
        <w:t>万元，具体内容包括：</w:t>
      </w:r>
      <w:r>
        <w:rPr>
          <w:rFonts w:hint="eastAsia" w:eastAsia="仿宋_GB2312" w:cs="仿宋_GB2312"/>
          <w:b w:val="0"/>
          <w:bCs w:val="0"/>
          <w:color w:val="auto"/>
          <w:kern w:val="2"/>
          <w:sz w:val="32"/>
          <w:szCs w:val="32"/>
          <w:highlight w:val="none"/>
          <w:lang w:val="en-US" w:eastAsia="zh-CN" w:bidi="ar-SA"/>
        </w:rPr>
        <w:t>重庆市计量质量检测研究院0.12万元、四川天府检验检测集团有限公司0.13万元。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val="0"/>
          <w:bCs w:val="0"/>
          <w:color w:val="auto"/>
          <w:kern w:val="2"/>
          <w:sz w:val="32"/>
          <w:szCs w:val="32"/>
          <w:highlight w:val="none"/>
          <w:lang w:val="en-US" w:eastAsia="zh-CN" w:bidi="ar-SA"/>
        </w:rPr>
        <w:t>4.</w:t>
      </w:r>
      <w:r>
        <w:rPr>
          <w:rFonts w:hint="eastAsia" w:ascii="Times New Roman" w:hAnsi="Times New Roman" w:eastAsia="仿宋_GB2312" w:cs="仿宋_GB2312"/>
          <w:b w:val="0"/>
          <w:bCs w:val="0"/>
          <w:color w:val="auto"/>
          <w:kern w:val="2"/>
          <w:sz w:val="32"/>
          <w:szCs w:val="32"/>
          <w:highlight w:val="none"/>
          <w:lang w:val="en-US" w:eastAsia="zh-CN" w:bidi="ar-SA"/>
        </w:rPr>
        <w:t>外事接待支出</w:t>
      </w:r>
      <w:r>
        <w:rPr>
          <w:rFonts w:hint="eastAsia" w:eastAsia="仿宋_GB2312" w:cs="仿宋_GB2312"/>
          <w:b w:val="0"/>
          <w:bCs w:val="0"/>
          <w:color w:val="auto"/>
          <w:kern w:val="2"/>
          <w:sz w:val="32"/>
          <w:szCs w:val="32"/>
          <w:highlight w:val="none"/>
          <w:lang w:val="en-US" w:eastAsia="zh-CN" w:bidi="ar-SA"/>
        </w:rPr>
        <w:t>0</w:t>
      </w:r>
      <w:r>
        <w:rPr>
          <w:rFonts w:hint="eastAsia" w:ascii="Times New Roman" w:hAnsi="Times New Roman" w:eastAsia="仿宋_GB2312" w:cs="仿宋_GB2312"/>
          <w:b w:val="0"/>
          <w:bCs w:val="0"/>
          <w:color w:val="auto"/>
          <w:kern w:val="2"/>
          <w:sz w:val="32"/>
          <w:szCs w:val="32"/>
          <w:highlight w:val="none"/>
          <w:lang w:val="en-US" w:eastAsia="zh-CN" w:bidi="ar-SA"/>
        </w:rPr>
        <w:t>万元</w:t>
      </w:r>
      <w:r>
        <w:rPr>
          <w:rFonts w:hint="eastAsia" w:eastAsia="仿宋_GB2312" w:cs="仿宋_GB2312"/>
          <w:b w:val="0"/>
          <w:bCs w:val="0"/>
          <w:color w:val="auto"/>
          <w:kern w:val="2"/>
          <w:sz w:val="32"/>
          <w:szCs w:val="32"/>
          <w:highlight w:val="none"/>
          <w:lang w:val="en-US" w:eastAsia="zh-CN" w:bidi="ar-SA"/>
        </w:rPr>
        <w:t>。</w:t>
      </w:r>
      <w:r>
        <w:rPr>
          <w:rFonts w:hint="eastAsia" w:ascii="Times New Roman" w:hAnsi="Times New Roman" w:eastAsia="仿宋_GB2312" w:cs="仿宋_GB2312"/>
          <w:b w:val="0"/>
          <w:bCs w:val="0"/>
          <w:color w:val="auto"/>
          <w:kern w:val="2"/>
          <w:sz w:val="32"/>
          <w:szCs w:val="32"/>
          <w:highlight w:val="none"/>
          <w:lang w:val="en-US" w:eastAsia="zh-CN" w:bidi="ar-SA"/>
        </w:rPr>
        <w:t>外事接待</w:t>
      </w:r>
      <w:r>
        <w:rPr>
          <w:rFonts w:hint="eastAsia" w:eastAsia="仿宋_GB2312" w:cs="仿宋_GB2312"/>
          <w:b w:val="0"/>
          <w:bCs w:val="0"/>
          <w:color w:val="auto"/>
          <w:kern w:val="2"/>
          <w:sz w:val="32"/>
          <w:szCs w:val="32"/>
          <w:highlight w:val="none"/>
          <w:lang w:val="en-US" w:eastAsia="zh-CN" w:bidi="ar-SA"/>
        </w:rPr>
        <w:t>0</w:t>
      </w:r>
      <w:r>
        <w:rPr>
          <w:rFonts w:hint="eastAsia" w:ascii="Times New Roman" w:hAnsi="Times New Roman" w:eastAsia="仿宋_GB2312" w:cs="仿宋_GB2312"/>
          <w:b w:val="0"/>
          <w:bCs w:val="0"/>
          <w:color w:val="auto"/>
          <w:kern w:val="2"/>
          <w:sz w:val="32"/>
          <w:szCs w:val="32"/>
          <w:highlight w:val="none"/>
          <w:lang w:val="en-US" w:eastAsia="zh-CN" w:bidi="ar-SA"/>
        </w:rPr>
        <w:t>批</w:t>
      </w:r>
      <w:r>
        <w:rPr>
          <w:rFonts w:hint="eastAsia" w:ascii="Times New Roman" w:hAnsi="Times New Roman" w:eastAsia="仿宋_GB2312" w:cs="仿宋_GB2312"/>
          <w:color w:val="auto"/>
          <w:kern w:val="2"/>
          <w:sz w:val="32"/>
          <w:szCs w:val="32"/>
          <w:highlight w:val="none"/>
          <w:lang w:val="en-US" w:eastAsia="zh-CN" w:bidi="ar-SA"/>
        </w:rPr>
        <w:t>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outlineLvl w:val="1"/>
        <w:rPr>
          <w:rStyle w:val="30"/>
          <w:rFonts w:ascii="Times New Roman" w:hAnsi="Times New Roman" w:eastAsia="黑体"/>
          <w:color w:val="auto"/>
          <w:highlight w:val="none"/>
        </w:rPr>
      </w:pPr>
      <w:bookmarkStart w:id="41" w:name="_Toc15377218"/>
      <w:bookmarkStart w:id="42" w:name="_Toc15396610"/>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1"/>
      <w:bookmarkEnd w:id="42"/>
    </w:p>
    <w:p>
      <w:pPr>
        <w:numPr>
          <w:ilvl w:val="0"/>
          <w:numId w:val="0"/>
        </w:numPr>
        <w:spacing w:line="600" w:lineRule="exact"/>
        <w:ind w:left="630" w:leftChars="0"/>
        <w:outlineLvl w:val="1"/>
        <w:rPr>
          <w:rFonts w:hint="default" w:ascii="Times New Roman" w:hAnsi="Times New Roman" w:eastAsia="仿宋_GB2312" w:cs="Times New Roman"/>
          <w:color w:val="auto"/>
          <w:sz w:val="32"/>
          <w:szCs w:val="32"/>
          <w:highlight w:val="none"/>
        </w:rPr>
      </w:pPr>
      <w:bookmarkStart w:id="43" w:name="_Toc15377219"/>
      <w:bookmarkStart w:id="44" w:name="_Toc15396611"/>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政府性基金预算</w:t>
      </w:r>
      <w:r>
        <w:rPr>
          <w:rFonts w:hint="default" w:ascii="Times New Roman" w:hAnsi="Times New Roman" w:eastAsia="仿宋_GB2312" w:cs="Times New Roman"/>
          <w:color w:val="auto"/>
          <w:sz w:val="32"/>
          <w:szCs w:val="32"/>
          <w:highlight w:val="none"/>
          <w:lang w:eastAsia="zh-CN"/>
        </w:rPr>
        <w:t>财政</w:t>
      </w:r>
      <w:r>
        <w:rPr>
          <w:rFonts w:hint="default" w:ascii="Times New Roman" w:hAnsi="Times New Roman" w:eastAsia="仿宋_GB2312" w:cs="Times New Roman"/>
          <w:color w:val="auto"/>
          <w:sz w:val="32"/>
          <w:szCs w:val="32"/>
          <w:highlight w:val="none"/>
        </w:rPr>
        <w:t>拨款支出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w:t>
      </w:r>
    </w:p>
    <w:p>
      <w:pPr>
        <w:numPr>
          <w:ilvl w:val="0"/>
          <w:numId w:val="0"/>
        </w:numPr>
        <w:spacing w:line="600" w:lineRule="exact"/>
        <w:ind w:left="630" w:leftChars="0"/>
        <w:outlineLvl w:val="1"/>
        <w:rPr>
          <w:rStyle w:val="30"/>
          <w:rFonts w:ascii="Times New Roman" w:hAnsi="Times New Roman" w:eastAsia="黑体"/>
          <w:b w:val="0"/>
          <w:color w:val="auto"/>
          <w:highlight w:val="none"/>
        </w:rPr>
      </w:pPr>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3"/>
      <w:bookmarkEnd w:id="44"/>
    </w:p>
    <w:p>
      <w:pPr>
        <w:spacing w:line="600" w:lineRule="exact"/>
        <w:ind w:firstLine="64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w:t>
      </w:r>
      <w:r>
        <w:rPr>
          <w:rFonts w:hint="default" w:ascii="Times New Roman" w:hAnsi="Times New Roman" w:eastAsia="仿宋_GB2312" w:cs="Times New Roman"/>
          <w:color w:val="auto"/>
          <w:sz w:val="32"/>
          <w:szCs w:val="32"/>
          <w:highlight w:val="none"/>
        </w:rPr>
        <w:t>拨款支出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w:t>
      </w:r>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45" w:name="_Toc15396612"/>
      <w:bookmarkStart w:id="46"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5"/>
      <w:bookmarkEnd w:id="46"/>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2"/>
      <w:r>
        <w:rPr>
          <w:rFonts w:hint="eastAsia" w:ascii="Times New Roman" w:hAnsi="Times New Roman" w:eastAsia="楷体_GB2312" w:cs="楷体_GB2312"/>
          <w:b/>
          <w:color w:val="auto"/>
          <w:sz w:val="32"/>
          <w:szCs w:val="32"/>
          <w:highlight w:val="none"/>
        </w:rPr>
        <w:t>（一）机关运行经费支出情况</w:t>
      </w:r>
      <w:bookmarkEnd w:id="47"/>
    </w:p>
    <w:p>
      <w:pPr>
        <w:spacing w:line="600" w:lineRule="exact"/>
        <w:ind w:firstLine="640" w:firstLineChars="20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机关运行经费支出 0 万元，与 202</w:t>
      </w: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eastAsia="zh-CN"/>
        </w:rPr>
        <w:t xml:space="preserve"> 年相比无变化。</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3"/>
      <w:r>
        <w:rPr>
          <w:rFonts w:hint="eastAsia" w:ascii="Times New Roman" w:hAnsi="Times New Roman" w:eastAsia="楷体_GB2312" w:cs="楷体_GB2312"/>
          <w:b/>
          <w:color w:val="auto"/>
          <w:sz w:val="32"/>
          <w:szCs w:val="32"/>
          <w:highlight w:val="none"/>
        </w:rPr>
        <w:t>（二）政府采购支出情况</w:t>
      </w:r>
      <w:bookmarkEnd w:id="4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省计量院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954.6</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752.96</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201.62</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专用设备购置及计量软件更新升级</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778.73</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81.58</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778.73</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81.58</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24"/>
      <w:r>
        <w:rPr>
          <w:rFonts w:hint="eastAsia" w:ascii="Times New Roman" w:hAnsi="Times New Roman" w:eastAsia="楷体_GB2312" w:cs="楷体_GB2312"/>
          <w:b/>
          <w:color w:val="auto"/>
          <w:sz w:val="32"/>
          <w:szCs w:val="32"/>
          <w:highlight w:val="none"/>
        </w:rPr>
        <w:t>（三）国有资产占有使用情况</w:t>
      </w:r>
      <w:bookmarkEnd w:id="4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省计量院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专业技术用车及开展业务用车。</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省计量院</w:t>
      </w:r>
      <w:r>
        <w:rPr>
          <w:rFonts w:hint="eastAsia" w:ascii="Times New Roman" w:hAnsi="Times New Roman" w:eastAsia="仿宋_GB2312" w:cs="仿宋_GB2312"/>
          <w:color w:val="auto"/>
          <w:kern w:val="2"/>
          <w:sz w:val="32"/>
          <w:szCs w:val="32"/>
          <w:highlight w:val="none"/>
          <w:lang w:val="en-US" w:eastAsia="zh-CN" w:bidi="ar-SA"/>
        </w:rPr>
        <w:t>在2025年度，组织对</w:t>
      </w:r>
      <w:bookmarkStart w:id="50" w:name="OLE_LINK2"/>
      <w:r>
        <w:rPr>
          <w:rFonts w:hint="eastAsia" w:ascii="Times New Roman" w:hAnsi="Times New Roman" w:eastAsia="仿宋_GB2312" w:cs="仿宋_GB2312"/>
          <w:color w:val="auto"/>
          <w:kern w:val="2"/>
          <w:sz w:val="32"/>
          <w:szCs w:val="32"/>
          <w:highlight w:val="none"/>
          <w:lang w:val="en-US" w:eastAsia="zh-CN" w:bidi="ar-SA"/>
        </w:rPr>
        <w:t>计量抽查、核查项目</w:t>
      </w:r>
      <w:bookmarkEnd w:id="50"/>
      <w:r>
        <w:rPr>
          <w:rFonts w:hint="eastAsia" w:eastAsia="仿宋_GB2312" w:cs="仿宋_GB2312"/>
          <w:color w:val="auto"/>
          <w:kern w:val="2"/>
          <w:sz w:val="32"/>
          <w:szCs w:val="32"/>
          <w:highlight w:val="none"/>
          <w:lang w:val="en-US" w:eastAsia="zh-CN" w:bidi="ar-SA"/>
        </w:rPr>
        <w:t>、重点工业产品质量安全监管经费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3728.54</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个项目开展绩效监控。绩效自评</w:t>
      </w:r>
      <w:r>
        <w:rPr>
          <w:rFonts w:hint="eastAsia" w:eastAsia="仿宋_GB2312" w:cs="仿宋_GB2312"/>
          <w:color w:val="auto"/>
          <w:kern w:val="2"/>
          <w:sz w:val="32"/>
          <w:szCs w:val="32"/>
          <w:highlight w:val="none"/>
          <w:lang w:val="en-US" w:eastAsia="zh-CN" w:bidi="ar-SA"/>
        </w:rPr>
        <w:t>表</w:t>
      </w:r>
      <w:r>
        <w:rPr>
          <w:rFonts w:hint="eastAsia" w:ascii="Times New Roman" w:hAnsi="Times New Roman" w:eastAsia="仿宋_GB2312" w:cs="仿宋_GB2312"/>
          <w:color w:val="auto"/>
          <w:kern w:val="2"/>
          <w:sz w:val="32"/>
          <w:szCs w:val="32"/>
          <w:highlight w:val="none"/>
          <w:lang w:val="en-US" w:eastAsia="zh-CN" w:bidi="ar-SA"/>
        </w:rPr>
        <w:t>详见附件。</w:t>
      </w: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lang w:val="en-US" w:eastAsia="zh-CN"/>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1" w:name="_Toc15396613"/>
      <w:bookmarkStart w:id="52"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1"/>
      <w:bookmarkEnd w:id="52"/>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3" w:name="_Toc15377226"/>
      <w:r>
        <w:rPr>
          <w:rFonts w:hint="eastAsia" w:ascii="Times New Roman" w:hAnsi="Times New Roman" w:eastAsia="仿宋_GB2312" w:cs="仿宋_GB2312"/>
          <w:color w:val="auto"/>
          <w:kern w:val="2"/>
          <w:sz w:val="32"/>
          <w:szCs w:val="32"/>
          <w:highlight w:val="none"/>
          <w:lang w:val="en-US" w:eastAsia="zh-CN" w:bidi="ar-SA"/>
        </w:rPr>
        <w:t>1.财政拨款收入：指单位从同级财政</w:t>
      </w:r>
      <w:r>
        <w:rPr>
          <w:rFonts w:hint="eastAsia" w:eastAsia="仿宋_GB2312" w:cs="仿宋_GB2312"/>
          <w:color w:val="auto"/>
          <w:kern w:val="2"/>
          <w:sz w:val="32"/>
          <w:szCs w:val="32"/>
          <w:highlight w:val="none"/>
          <w:lang w:val="en-US" w:eastAsia="zh-CN" w:bidi="ar-SA"/>
        </w:rPr>
        <w:t>单位</w:t>
      </w:r>
      <w:r>
        <w:rPr>
          <w:rFonts w:hint="eastAsia" w:ascii="Times New Roman" w:hAnsi="Times New Roman" w:eastAsia="仿宋_GB2312" w:cs="仿宋_GB2312"/>
          <w:color w:val="auto"/>
          <w:kern w:val="2"/>
          <w:sz w:val="32"/>
          <w:szCs w:val="32"/>
          <w:highlight w:val="none"/>
          <w:lang w:val="en-US" w:eastAsia="zh-CN" w:bidi="ar-SA"/>
        </w:rPr>
        <w:t>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pPr>
        <w:pStyle w:val="15"/>
        <w:keepNext w:val="0"/>
        <w:keepLines w:val="0"/>
        <w:widowControl/>
        <w:suppressLineNumbers w:val="0"/>
        <w:shd w:val="clear" w:fill="FFFFFF"/>
        <w:spacing w:before="0" w:beforeAutospacing="0" w:after="0" w:afterAutospacing="0" w:line="315" w:lineRule="atLeast"/>
        <w:ind w:left="0" w:right="0" w:firstLine="645"/>
        <w:jc w:val="both"/>
        <w:rPr>
          <w:rFonts w:hint="default" w:ascii="Times New Roman" w:hAnsi="Times New Roman" w:eastAsia="微软雅黑" w:cs="Times New Roman"/>
          <w:i w:val="0"/>
          <w:iCs w:val="0"/>
          <w:caps w:val="0"/>
          <w:color w:val="333333"/>
          <w:spacing w:val="0"/>
          <w:sz w:val="21"/>
          <w:szCs w:val="21"/>
        </w:rPr>
      </w:pPr>
      <w:r>
        <w:rPr>
          <w:rFonts w:hint="default" w:ascii="Times New Roman" w:hAnsi="Times New Roman" w:eastAsia="仿宋_GB2312" w:cs="Times New Roman"/>
          <w:i w:val="0"/>
          <w:iCs w:val="0"/>
          <w:caps w:val="0"/>
          <w:color w:val="auto"/>
          <w:spacing w:val="0"/>
          <w:sz w:val="31"/>
          <w:szCs w:val="31"/>
          <w:shd w:val="clear" w:fill="FFFFFF"/>
          <w:lang w:val="en-US" w:eastAsia="zh-CN"/>
        </w:rPr>
        <w:t>6</w:t>
      </w:r>
      <w:r>
        <w:rPr>
          <w:rFonts w:hint="default" w:ascii="Times New Roman" w:hAnsi="Times New Roman" w:eastAsia="仿宋_GB2312" w:cs="Times New Roman"/>
          <w:i w:val="0"/>
          <w:iCs w:val="0"/>
          <w:caps w:val="0"/>
          <w:color w:val="auto"/>
          <w:spacing w:val="0"/>
          <w:sz w:val="31"/>
          <w:szCs w:val="31"/>
          <w:shd w:val="clear" w:fill="FFFFFF"/>
        </w:rPr>
        <w:t>.一般公共服务支出（类）市场监督管理事务（款）质量基础（项）：指反映计量、标准、认证认可、检验检测等质量基础专项工作支出。</w:t>
      </w:r>
    </w:p>
    <w:p>
      <w:pPr>
        <w:pStyle w:val="15"/>
        <w:keepNext w:val="0"/>
        <w:keepLines w:val="0"/>
        <w:widowControl/>
        <w:suppressLineNumbers w:val="0"/>
        <w:shd w:val="clear" w:fill="FFFFFF"/>
        <w:spacing w:before="0" w:beforeAutospacing="0" w:after="0" w:afterAutospacing="0" w:line="315" w:lineRule="atLeast"/>
        <w:ind w:left="0" w:right="0" w:firstLine="645"/>
        <w:jc w:val="both"/>
        <w:rPr>
          <w:rFonts w:hint="default" w:ascii="Times New Roman" w:hAnsi="Times New Roman" w:eastAsia="微软雅黑" w:cs="Times New Roman"/>
          <w:i w:val="0"/>
          <w:iCs w:val="0"/>
          <w:caps w:val="0"/>
          <w:color w:val="333333"/>
          <w:spacing w:val="0"/>
          <w:sz w:val="21"/>
          <w:szCs w:val="21"/>
        </w:rPr>
      </w:pPr>
      <w:r>
        <w:rPr>
          <w:rFonts w:hint="default" w:ascii="Times New Roman" w:hAnsi="Times New Roman" w:eastAsia="仿宋_GB2312" w:cs="Times New Roman"/>
          <w:i w:val="0"/>
          <w:iCs w:val="0"/>
          <w:caps w:val="0"/>
          <w:color w:val="auto"/>
          <w:spacing w:val="0"/>
          <w:sz w:val="31"/>
          <w:szCs w:val="31"/>
          <w:shd w:val="clear" w:fill="FFFFFF"/>
          <w:lang w:val="en-US" w:eastAsia="zh-CN"/>
        </w:rPr>
        <w:t>7</w:t>
      </w:r>
      <w:r>
        <w:rPr>
          <w:rFonts w:hint="default" w:ascii="Times New Roman" w:hAnsi="Times New Roman" w:eastAsia="仿宋_GB2312" w:cs="Times New Roman"/>
          <w:i w:val="0"/>
          <w:iCs w:val="0"/>
          <w:caps w:val="0"/>
          <w:color w:val="auto"/>
          <w:spacing w:val="0"/>
          <w:sz w:val="31"/>
          <w:szCs w:val="31"/>
          <w:shd w:val="clear" w:fill="FFFFFF"/>
        </w:rPr>
        <w:t>.一般公共服务支出（类）市场监督管理事务（款）信息化建设（项）：指反映市场监督管理、药品监督管理部门用于信息化建设及运行维护方面的支出。</w:t>
      </w:r>
    </w:p>
    <w:p>
      <w:pPr>
        <w:pStyle w:val="15"/>
        <w:keepNext w:val="0"/>
        <w:keepLines w:val="0"/>
        <w:widowControl/>
        <w:suppressLineNumbers w:val="0"/>
        <w:shd w:val="clear" w:fill="FFFFFF"/>
        <w:spacing w:before="0" w:beforeAutospacing="0" w:after="0" w:afterAutospacing="0" w:line="315" w:lineRule="atLeast"/>
        <w:ind w:left="0" w:right="0" w:firstLine="645"/>
        <w:jc w:val="both"/>
        <w:rPr>
          <w:rFonts w:hint="default" w:ascii="Times New Roman" w:hAnsi="Times New Roman" w:eastAsia="微软雅黑" w:cs="Times New Roman"/>
          <w:i w:val="0"/>
          <w:iCs w:val="0"/>
          <w:caps w:val="0"/>
          <w:color w:val="333333"/>
          <w:spacing w:val="0"/>
          <w:sz w:val="21"/>
          <w:szCs w:val="21"/>
        </w:rPr>
      </w:pPr>
      <w:r>
        <w:rPr>
          <w:rFonts w:hint="default" w:ascii="Times New Roman" w:hAnsi="Times New Roman" w:eastAsia="仿宋_GB2312" w:cs="Times New Roman"/>
          <w:i w:val="0"/>
          <w:iCs w:val="0"/>
          <w:caps w:val="0"/>
          <w:color w:val="auto"/>
          <w:spacing w:val="0"/>
          <w:sz w:val="31"/>
          <w:szCs w:val="31"/>
          <w:shd w:val="clear" w:fill="FFFFFF"/>
          <w:lang w:val="en-US" w:eastAsia="zh-CN"/>
        </w:rPr>
        <w:t>8</w:t>
      </w:r>
      <w:r>
        <w:rPr>
          <w:rFonts w:hint="default" w:ascii="Times New Roman" w:hAnsi="Times New Roman" w:eastAsia="仿宋_GB2312" w:cs="Times New Roman"/>
          <w:i w:val="0"/>
          <w:iCs w:val="0"/>
          <w:caps w:val="0"/>
          <w:color w:val="auto"/>
          <w:spacing w:val="0"/>
          <w:sz w:val="31"/>
          <w:szCs w:val="31"/>
          <w:shd w:val="clear" w:fill="FFFFFF"/>
        </w:rPr>
        <w:t>.一般公共服务支出（类）市场监督管理事务（款）其他市场监督管理事务（项）：指</w:t>
      </w:r>
      <w:r>
        <w:rPr>
          <w:rFonts w:hint="default" w:ascii="Times New Roman" w:hAnsi="Times New Roman" w:eastAsia="仿宋_GB2312" w:cs="Times New Roman"/>
          <w:i w:val="0"/>
          <w:iCs w:val="0"/>
          <w:caps w:val="0"/>
          <w:color w:val="auto"/>
          <w:spacing w:val="0"/>
          <w:sz w:val="31"/>
          <w:szCs w:val="31"/>
          <w:shd w:val="clear" w:fill="FFFFFF"/>
          <w:lang w:eastAsia="zh-CN"/>
        </w:rPr>
        <w:t>反映上述</w:t>
      </w:r>
      <w:r>
        <w:rPr>
          <w:rFonts w:hint="default" w:ascii="Times New Roman" w:hAnsi="Times New Roman" w:eastAsia="仿宋_GB2312" w:cs="Times New Roman"/>
          <w:i w:val="0"/>
          <w:iCs w:val="0"/>
          <w:caps w:val="0"/>
          <w:color w:val="auto"/>
          <w:spacing w:val="0"/>
          <w:sz w:val="31"/>
          <w:szCs w:val="31"/>
          <w:shd w:val="clear" w:fill="FFFFFF"/>
        </w:rPr>
        <w:t>项目以外的其他市场监督管理事务方面的支出。</w:t>
      </w:r>
    </w:p>
    <w:p>
      <w:pPr>
        <w:pStyle w:val="15"/>
        <w:keepNext w:val="0"/>
        <w:keepLines w:val="0"/>
        <w:widowControl/>
        <w:suppressLineNumbers w:val="0"/>
        <w:shd w:val="clear" w:fill="FFFFFF"/>
        <w:spacing w:before="0" w:beforeAutospacing="0" w:after="0" w:afterAutospacing="0" w:line="315" w:lineRule="atLeast"/>
        <w:ind w:left="0" w:right="0" w:firstLine="645"/>
        <w:jc w:val="both"/>
        <w:rPr>
          <w:rFonts w:hint="default" w:ascii="Times New Roman" w:hAnsi="Times New Roman" w:eastAsia="微软雅黑" w:cs="Times New Roman"/>
          <w:i w:val="0"/>
          <w:iCs w:val="0"/>
          <w:caps w:val="0"/>
          <w:color w:val="333333"/>
          <w:spacing w:val="0"/>
          <w:sz w:val="21"/>
          <w:szCs w:val="21"/>
        </w:rPr>
      </w:pPr>
      <w:r>
        <w:rPr>
          <w:rFonts w:hint="default" w:ascii="Times New Roman" w:hAnsi="Times New Roman" w:eastAsia="仿宋_GB2312" w:cs="Times New Roman"/>
          <w:i w:val="0"/>
          <w:iCs w:val="0"/>
          <w:caps w:val="0"/>
          <w:color w:val="auto"/>
          <w:spacing w:val="0"/>
          <w:sz w:val="31"/>
          <w:szCs w:val="31"/>
          <w:shd w:val="clear" w:fill="FFFFFF"/>
          <w:lang w:val="en-US" w:eastAsia="zh-CN"/>
        </w:rPr>
        <w:t>9</w:t>
      </w:r>
      <w:r>
        <w:rPr>
          <w:rFonts w:hint="default" w:ascii="Times New Roman" w:hAnsi="Times New Roman" w:eastAsia="仿宋_GB2312" w:cs="Times New Roman"/>
          <w:i w:val="0"/>
          <w:iCs w:val="0"/>
          <w:caps w:val="0"/>
          <w:color w:val="auto"/>
          <w:spacing w:val="0"/>
          <w:sz w:val="31"/>
          <w:szCs w:val="31"/>
          <w:shd w:val="clear" w:fill="FFFFFF"/>
        </w:rPr>
        <w:t>.教育支出（类）进修及培训（款）培训支出（项）：指反映各部门安排的用于培训的支出。教育部门的师资培训，党校、行政学院等专业干部教育机构的支出，以及退役士兵、转业士官的培训支出，不在本科目反映。</w:t>
      </w:r>
    </w:p>
    <w:p>
      <w:pPr>
        <w:pStyle w:val="15"/>
        <w:keepNext w:val="0"/>
        <w:keepLines w:val="0"/>
        <w:widowControl/>
        <w:suppressLineNumbers w:val="0"/>
        <w:shd w:val="clear" w:fill="FFFFFF"/>
        <w:spacing w:before="0" w:beforeAutospacing="0" w:after="0" w:afterAutospacing="0" w:line="315" w:lineRule="atLeast"/>
        <w:ind w:left="0" w:right="0" w:firstLine="645"/>
        <w:jc w:val="both"/>
        <w:rPr>
          <w:rFonts w:hint="default" w:ascii="Times New Roman" w:hAnsi="Times New Roman" w:eastAsia="微软雅黑" w:cs="Times New Roman"/>
          <w:i w:val="0"/>
          <w:iCs w:val="0"/>
          <w:caps w:val="0"/>
          <w:color w:val="333333"/>
          <w:spacing w:val="0"/>
          <w:sz w:val="21"/>
          <w:szCs w:val="21"/>
        </w:rPr>
      </w:pPr>
      <w:r>
        <w:rPr>
          <w:rFonts w:hint="default" w:ascii="Times New Roman" w:hAnsi="Times New Roman" w:eastAsia="仿宋_GB2312" w:cs="Times New Roman"/>
          <w:i w:val="0"/>
          <w:iCs w:val="0"/>
          <w:caps w:val="0"/>
          <w:color w:val="auto"/>
          <w:spacing w:val="0"/>
          <w:sz w:val="31"/>
          <w:szCs w:val="31"/>
          <w:shd w:val="clear" w:fill="FFFFFF"/>
          <w:lang w:val="en-US" w:eastAsia="zh-CN"/>
        </w:rPr>
        <w:t>10</w:t>
      </w:r>
      <w:r>
        <w:rPr>
          <w:rFonts w:hint="default" w:ascii="Times New Roman" w:hAnsi="Times New Roman" w:eastAsia="仿宋_GB2312" w:cs="Times New Roman"/>
          <w:i w:val="0"/>
          <w:iCs w:val="0"/>
          <w:caps w:val="0"/>
          <w:color w:val="auto"/>
          <w:spacing w:val="0"/>
          <w:sz w:val="31"/>
          <w:szCs w:val="31"/>
          <w:shd w:val="clear" w:fill="FFFFFF"/>
        </w:rPr>
        <w:t>.科学技术支出（类）其他科学技术支出（款）其他科学技术支出（项）：指反映其他科学技术支出中除以上各项外用于科技方面的支出。</w:t>
      </w:r>
    </w:p>
    <w:p>
      <w:pPr>
        <w:pStyle w:val="15"/>
        <w:keepNext w:val="0"/>
        <w:keepLines w:val="0"/>
        <w:widowControl/>
        <w:suppressLineNumbers w:val="0"/>
        <w:shd w:val="clear" w:fill="FFFFFF"/>
        <w:spacing w:before="0" w:beforeAutospacing="0" w:after="0" w:afterAutospacing="0" w:line="315" w:lineRule="atLeast"/>
        <w:ind w:left="0" w:right="0" w:firstLine="645"/>
        <w:jc w:val="both"/>
        <w:rPr>
          <w:rFonts w:hint="default" w:ascii="Times New Roman" w:hAnsi="Times New Roman" w:eastAsia="微软雅黑" w:cs="Times New Roman"/>
          <w:i w:val="0"/>
          <w:iCs w:val="0"/>
          <w:caps w:val="0"/>
          <w:color w:val="333333"/>
          <w:spacing w:val="0"/>
          <w:sz w:val="21"/>
          <w:szCs w:val="21"/>
        </w:rPr>
      </w:pPr>
      <w:r>
        <w:rPr>
          <w:rFonts w:hint="default" w:ascii="Times New Roman" w:hAnsi="Times New Roman" w:eastAsia="仿宋_GB2312" w:cs="Times New Roman"/>
          <w:i w:val="0"/>
          <w:iCs w:val="0"/>
          <w:caps w:val="0"/>
          <w:color w:val="auto"/>
          <w:spacing w:val="0"/>
          <w:sz w:val="31"/>
          <w:szCs w:val="31"/>
          <w:shd w:val="clear" w:fill="FFFFFF"/>
          <w:lang w:val="en-US" w:eastAsia="zh-CN"/>
        </w:rPr>
        <w:t>11</w:t>
      </w:r>
      <w:r>
        <w:rPr>
          <w:rFonts w:hint="default" w:ascii="Times New Roman" w:hAnsi="Times New Roman" w:eastAsia="仿宋_GB2312" w:cs="Times New Roman"/>
          <w:i w:val="0"/>
          <w:iCs w:val="0"/>
          <w:caps w:val="0"/>
          <w:color w:val="auto"/>
          <w:spacing w:val="0"/>
          <w:sz w:val="31"/>
          <w:szCs w:val="31"/>
          <w:shd w:val="clear" w:fill="FFFFFF"/>
        </w:rPr>
        <w:t>.社会保障和就业支出（类）行政事业单位养老支出（款）机关事业单位基本养老保险缴费支出（项）：指反映机关事业单位实施养老保险制度由单位缴纳的基本养老保险费支出。</w:t>
      </w:r>
    </w:p>
    <w:p>
      <w:pPr>
        <w:pStyle w:val="15"/>
        <w:keepNext w:val="0"/>
        <w:keepLines w:val="0"/>
        <w:widowControl/>
        <w:suppressLineNumbers w:val="0"/>
        <w:shd w:val="clear" w:fill="FFFFFF"/>
        <w:spacing w:before="0" w:beforeAutospacing="0" w:after="0" w:afterAutospacing="0" w:line="315" w:lineRule="atLeast"/>
        <w:ind w:left="0" w:right="0" w:firstLine="645"/>
        <w:jc w:val="both"/>
        <w:rPr>
          <w:rFonts w:hint="default" w:ascii="Times New Roman" w:hAnsi="Times New Roman" w:eastAsia="微软雅黑" w:cs="Times New Roman"/>
          <w:i w:val="0"/>
          <w:iCs w:val="0"/>
          <w:caps w:val="0"/>
          <w:color w:val="333333"/>
          <w:spacing w:val="0"/>
          <w:sz w:val="21"/>
          <w:szCs w:val="21"/>
        </w:rPr>
      </w:pPr>
      <w:r>
        <w:rPr>
          <w:rFonts w:hint="default" w:ascii="Times New Roman" w:hAnsi="Times New Roman" w:eastAsia="仿宋_GB2312" w:cs="Times New Roman"/>
          <w:i w:val="0"/>
          <w:iCs w:val="0"/>
          <w:caps w:val="0"/>
          <w:color w:val="auto"/>
          <w:spacing w:val="0"/>
          <w:sz w:val="31"/>
          <w:szCs w:val="31"/>
          <w:shd w:val="clear" w:fill="FFFFFF"/>
          <w:lang w:val="en-US" w:eastAsia="zh-CN"/>
        </w:rPr>
        <w:t>12</w:t>
      </w:r>
      <w:r>
        <w:rPr>
          <w:rFonts w:hint="default" w:ascii="Times New Roman" w:hAnsi="Times New Roman" w:eastAsia="仿宋_GB2312" w:cs="Times New Roman"/>
          <w:i w:val="0"/>
          <w:iCs w:val="0"/>
          <w:caps w:val="0"/>
          <w:color w:val="auto"/>
          <w:spacing w:val="0"/>
          <w:sz w:val="31"/>
          <w:szCs w:val="31"/>
          <w:shd w:val="clear" w:fill="FFFFFF"/>
        </w:rPr>
        <w:t>.社会保障和就业支出（类）行政事业单位养老支出（款）机关事业单位职业年金缴费支出（项）：指反映机关事业单位实施养老保险制度由单位实际缴纳的职业年金支出。</w:t>
      </w:r>
    </w:p>
    <w:p>
      <w:pPr>
        <w:pStyle w:val="15"/>
        <w:keepNext w:val="0"/>
        <w:keepLines w:val="0"/>
        <w:widowControl/>
        <w:suppressLineNumbers w:val="0"/>
        <w:shd w:val="clear" w:fill="FFFFFF"/>
        <w:spacing w:before="0" w:beforeAutospacing="0" w:after="0" w:afterAutospacing="0" w:line="315" w:lineRule="atLeast"/>
        <w:ind w:left="0" w:right="0" w:firstLine="645"/>
        <w:jc w:val="both"/>
        <w:rPr>
          <w:rFonts w:hint="default" w:ascii="Times New Roman" w:hAnsi="Times New Roman" w:eastAsia="微软雅黑" w:cs="Times New Roman"/>
          <w:i w:val="0"/>
          <w:iCs w:val="0"/>
          <w:caps w:val="0"/>
          <w:color w:val="333333"/>
          <w:spacing w:val="0"/>
          <w:sz w:val="21"/>
          <w:szCs w:val="21"/>
        </w:rPr>
      </w:pPr>
      <w:r>
        <w:rPr>
          <w:rFonts w:hint="default" w:ascii="Times New Roman" w:hAnsi="Times New Roman" w:eastAsia="仿宋_GB2312" w:cs="Times New Roman"/>
          <w:i w:val="0"/>
          <w:iCs w:val="0"/>
          <w:caps w:val="0"/>
          <w:color w:val="auto"/>
          <w:spacing w:val="0"/>
          <w:sz w:val="31"/>
          <w:szCs w:val="31"/>
          <w:shd w:val="clear" w:fill="FFFFFF"/>
          <w:lang w:val="en-US" w:eastAsia="zh-CN"/>
        </w:rPr>
        <w:t>13</w:t>
      </w:r>
      <w:r>
        <w:rPr>
          <w:rFonts w:hint="default" w:ascii="Times New Roman" w:hAnsi="Times New Roman" w:eastAsia="仿宋_GB2312" w:cs="Times New Roman"/>
          <w:i w:val="0"/>
          <w:iCs w:val="0"/>
          <w:caps w:val="0"/>
          <w:color w:val="auto"/>
          <w:spacing w:val="0"/>
          <w:sz w:val="31"/>
          <w:szCs w:val="31"/>
          <w:shd w:val="clear" w:fill="FFFFFF"/>
        </w:rPr>
        <w:t>.卫生健康支出（类）行政事业单位医疗（款）事业单位医疗（项）：指反映财政部门安排的事业单位基本医疗保险缴费经费，未参加医疗保险的事业单位的公费医疗经费，按国家规定享受离休人员待遇的医疗经费。</w:t>
      </w:r>
    </w:p>
    <w:p>
      <w:pPr>
        <w:pStyle w:val="15"/>
        <w:keepNext w:val="0"/>
        <w:keepLines w:val="0"/>
        <w:widowControl/>
        <w:suppressLineNumbers w:val="0"/>
        <w:shd w:val="clear" w:fill="FFFFFF"/>
        <w:spacing w:before="0" w:beforeAutospacing="0" w:after="0" w:afterAutospacing="0" w:line="315" w:lineRule="atLeast"/>
        <w:ind w:left="0" w:right="0" w:firstLine="645"/>
        <w:jc w:val="both"/>
        <w:rPr>
          <w:rFonts w:hint="default" w:ascii="Times New Roman" w:hAnsi="Times New Roman" w:eastAsia="微软雅黑" w:cs="Times New Roman"/>
          <w:i w:val="0"/>
          <w:iCs w:val="0"/>
          <w:caps w:val="0"/>
          <w:color w:val="333333"/>
          <w:spacing w:val="0"/>
          <w:sz w:val="21"/>
          <w:szCs w:val="21"/>
        </w:rPr>
      </w:pPr>
      <w:r>
        <w:rPr>
          <w:rFonts w:hint="default" w:ascii="Times New Roman" w:hAnsi="Times New Roman" w:eastAsia="仿宋_GB2312" w:cs="Times New Roman"/>
          <w:i w:val="0"/>
          <w:iCs w:val="0"/>
          <w:caps w:val="0"/>
          <w:color w:val="auto"/>
          <w:spacing w:val="0"/>
          <w:sz w:val="31"/>
          <w:szCs w:val="31"/>
          <w:shd w:val="clear" w:fill="FFFFFF"/>
          <w:lang w:val="en-US" w:eastAsia="zh-CN"/>
        </w:rPr>
        <w:t>14</w:t>
      </w:r>
      <w:r>
        <w:rPr>
          <w:rFonts w:hint="default" w:ascii="Times New Roman" w:hAnsi="Times New Roman" w:eastAsia="仿宋_GB2312" w:cs="Times New Roman"/>
          <w:i w:val="0"/>
          <w:iCs w:val="0"/>
          <w:caps w:val="0"/>
          <w:color w:val="auto"/>
          <w:spacing w:val="0"/>
          <w:sz w:val="31"/>
          <w:szCs w:val="31"/>
          <w:shd w:val="clear" w:fill="FFFFFF"/>
        </w:rPr>
        <w:t>.住房保障支出（类）住房改革支出（款）住房公积金（项）：指反映行政事业单位按人力资源和社会保障部、财政部规定的基本工资和津贴补贴以及规定比例为职工缴纳的住房公积金。</w:t>
      </w:r>
    </w:p>
    <w:p>
      <w:pPr>
        <w:pStyle w:val="15"/>
        <w:keepNext w:val="0"/>
        <w:keepLines w:val="0"/>
        <w:widowControl/>
        <w:suppressLineNumbers w:val="0"/>
        <w:shd w:val="clear" w:fill="FFFFFF"/>
        <w:spacing w:before="0" w:beforeAutospacing="0" w:after="0" w:afterAutospacing="0" w:line="315" w:lineRule="atLeast"/>
        <w:ind w:left="0" w:right="0" w:firstLine="645"/>
        <w:jc w:val="both"/>
        <w:rPr>
          <w:rFonts w:hint="default" w:ascii="Times New Roman" w:hAnsi="Times New Roman" w:eastAsia="微软雅黑" w:cs="Times New Roman"/>
          <w:i w:val="0"/>
          <w:iCs w:val="0"/>
          <w:caps w:val="0"/>
          <w:color w:val="333333"/>
          <w:spacing w:val="0"/>
          <w:sz w:val="21"/>
          <w:szCs w:val="21"/>
        </w:rPr>
      </w:pPr>
      <w:r>
        <w:rPr>
          <w:rFonts w:hint="default" w:ascii="Times New Roman" w:hAnsi="Times New Roman" w:eastAsia="仿宋_GB2312" w:cs="Times New Roman"/>
          <w:i w:val="0"/>
          <w:iCs w:val="0"/>
          <w:caps w:val="0"/>
          <w:color w:val="auto"/>
          <w:spacing w:val="0"/>
          <w:sz w:val="31"/>
          <w:szCs w:val="31"/>
          <w:shd w:val="clear" w:fill="FFFFFF"/>
          <w:lang w:val="en-US" w:eastAsia="zh-CN"/>
        </w:rPr>
        <w:t>15</w:t>
      </w:r>
      <w:r>
        <w:rPr>
          <w:rFonts w:hint="default" w:ascii="Times New Roman" w:hAnsi="Times New Roman" w:eastAsia="仿宋_GB2312" w:cs="Times New Roman"/>
          <w:i w:val="0"/>
          <w:iCs w:val="0"/>
          <w:caps w:val="0"/>
          <w:color w:val="auto"/>
          <w:spacing w:val="0"/>
          <w:sz w:val="31"/>
          <w:szCs w:val="31"/>
          <w:shd w:val="clear" w:fill="FFFFFF"/>
        </w:rPr>
        <w:t>.基本支出：指为保障机构正常运转、完成日常工作任务而发生的人员支出和公用支出。</w:t>
      </w:r>
    </w:p>
    <w:p>
      <w:pPr>
        <w:pStyle w:val="15"/>
        <w:keepNext w:val="0"/>
        <w:keepLines w:val="0"/>
        <w:widowControl/>
        <w:suppressLineNumbers w:val="0"/>
        <w:shd w:val="clear" w:fill="FFFFFF"/>
        <w:spacing w:before="0" w:beforeAutospacing="0" w:after="0" w:afterAutospacing="0"/>
        <w:ind w:left="0" w:right="0" w:firstLine="645"/>
        <w:jc w:val="left"/>
        <w:rPr>
          <w:rFonts w:hint="default" w:ascii="Times New Roman" w:hAnsi="Times New Roman" w:eastAsia="微软雅黑" w:cs="Times New Roman"/>
          <w:i w:val="0"/>
          <w:iCs w:val="0"/>
          <w:caps w:val="0"/>
          <w:color w:val="333333"/>
          <w:spacing w:val="0"/>
          <w:sz w:val="21"/>
          <w:szCs w:val="21"/>
        </w:rPr>
      </w:pPr>
      <w:r>
        <w:rPr>
          <w:rFonts w:hint="default" w:ascii="Times New Roman" w:hAnsi="Times New Roman" w:eastAsia="仿宋_GB2312" w:cs="Times New Roman"/>
          <w:i w:val="0"/>
          <w:iCs w:val="0"/>
          <w:caps w:val="0"/>
          <w:color w:val="333333"/>
          <w:spacing w:val="0"/>
          <w:sz w:val="31"/>
          <w:szCs w:val="31"/>
          <w:shd w:val="clear" w:fill="FFFFFF"/>
          <w:lang w:val="en-US" w:eastAsia="zh-CN"/>
        </w:rPr>
        <w:t>16</w:t>
      </w:r>
      <w:r>
        <w:rPr>
          <w:rFonts w:hint="default" w:ascii="Times New Roman" w:hAnsi="Times New Roman" w:eastAsia="仿宋_GB2312" w:cs="Times New Roman"/>
          <w:i w:val="0"/>
          <w:iCs w:val="0"/>
          <w:caps w:val="0"/>
          <w:color w:val="333333"/>
          <w:spacing w:val="0"/>
          <w:sz w:val="31"/>
          <w:szCs w:val="31"/>
          <w:shd w:val="clear" w:fill="FFFFFF"/>
        </w:rPr>
        <w:t>.项目支出：指在基本支出之外为完成特定行政任务和事业发展目标所发生的支出。</w:t>
      </w:r>
    </w:p>
    <w:p>
      <w:pPr>
        <w:pStyle w:val="15"/>
        <w:keepNext w:val="0"/>
        <w:keepLines w:val="0"/>
        <w:widowControl/>
        <w:suppressLineNumbers w:val="0"/>
        <w:shd w:val="clear" w:fill="FFFFFF"/>
        <w:spacing w:before="0" w:beforeAutospacing="0" w:after="0" w:afterAutospacing="0" w:line="555" w:lineRule="atLeast"/>
        <w:ind w:left="0" w:right="0" w:firstLine="645"/>
        <w:jc w:val="both"/>
        <w:rPr>
          <w:rFonts w:hint="default" w:ascii="Times New Roman" w:hAnsi="Times New Roman" w:eastAsia="微软雅黑" w:cs="Times New Roman"/>
          <w:i w:val="0"/>
          <w:iCs w:val="0"/>
          <w:caps w:val="0"/>
          <w:color w:val="333333"/>
          <w:spacing w:val="0"/>
          <w:sz w:val="21"/>
          <w:szCs w:val="21"/>
        </w:rPr>
      </w:pPr>
      <w:r>
        <w:rPr>
          <w:rFonts w:hint="default" w:ascii="Times New Roman" w:hAnsi="Times New Roman" w:eastAsia="仿宋_GB2312" w:cs="Times New Roman"/>
          <w:i w:val="0"/>
          <w:iCs w:val="0"/>
          <w:caps w:val="0"/>
          <w:color w:val="auto"/>
          <w:spacing w:val="0"/>
          <w:sz w:val="31"/>
          <w:szCs w:val="31"/>
          <w:shd w:val="clear" w:fill="FFFFFF"/>
          <w:lang w:val="en-US" w:eastAsia="zh-CN"/>
        </w:rPr>
        <w:t>17</w:t>
      </w:r>
      <w:r>
        <w:rPr>
          <w:rFonts w:hint="default" w:ascii="Times New Roman" w:hAnsi="Times New Roman" w:eastAsia="仿宋_GB2312" w:cs="Times New Roman"/>
          <w:i w:val="0"/>
          <w:iCs w:val="0"/>
          <w:caps w:val="0"/>
          <w:color w:val="auto"/>
          <w:spacing w:val="0"/>
          <w:sz w:val="31"/>
          <w:szCs w:val="31"/>
          <w:shd w:val="clear" w:fill="FFFFFF"/>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15"/>
        <w:keepNext w:val="0"/>
        <w:keepLines w:val="0"/>
        <w:widowControl/>
        <w:suppressLineNumbers w:val="0"/>
        <w:shd w:val="clear" w:fill="FFFFFF"/>
        <w:spacing w:before="0" w:beforeAutospacing="0" w:after="0" w:afterAutospacing="0" w:line="555" w:lineRule="atLeast"/>
        <w:ind w:left="0" w:right="0" w:firstLine="645"/>
        <w:jc w:val="both"/>
        <w:rPr>
          <w:rFonts w:hint="default" w:ascii="Times New Roman" w:hAnsi="Times New Roman" w:eastAsia="仿宋_GB2312" w:cs="Times New Roman"/>
          <w:i w:val="0"/>
          <w:iCs w:val="0"/>
          <w:caps w:val="0"/>
          <w:color w:val="auto"/>
          <w:spacing w:val="0"/>
          <w:sz w:val="31"/>
          <w:szCs w:val="31"/>
          <w:shd w:val="clear" w:fill="FFFFFF"/>
          <w:lang w:val="en-US" w:eastAsia="zh-CN"/>
        </w:rPr>
      </w:pPr>
      <w:r>
        <w:rPr>
          <w:rFonts w:hint="default" w:ascii="Times New Roman" w:hAnsi="Times New Roman" w:eastAsia="仿宋_GB2312" w:cs="Times New Roman"/>
          <w:i w:val="0"/>
          <w:iCs w:val="0"/>
          <w:caps w:val="0"/>
          <w:color w:val="auto"/>
          <w:spacing w:val="0"/>
          <w:sz w:val="31"/>
          <w:szCs w:val="31"/>
          <w:shd w:val="clear" w:fill="FFFFFF"/>
          <w:lang w:val="en-US" w:eastAsia="zh-CN"/>
        </w:rPr>
        <w:t>18.</w:t>
      </w:r>
      <w:r>
        <w:rPr>
          <w:rFonts w:hint="default" w:ascii="Times New Roman" w:hAnsi="Times New Roman" w:eastAsia="仿宋_GB2312" w:cs="Times New Roman"/>
          <w:i w:val="0"/>
          <w:iCs w:val="0"/>
          <w:caps w:val="0"/>
          <w:color w:val="auto"/>
          <w:spacing w:val="0"/>
          <w:sz w:val="31"/>
          <w:szCs w:val="31"/>
          <w:shd w:val="clear" w:fill="FFFFFF"/>
        </w:rPr>
        <w:t>一般公共服务（类）市场监督管理事务（款）市场主体管理（项）：指</w:t>
      </w:r>
      <w:r>
        <w:rPr>
          <w:rFonts w:hint="default" w:ascii="Times New Roman" w:hAnsi="Times New Roman" w:eastAsia="仿宋_GB2312" w:cs="Times New Roman"/>
          <w:i w:val="0"/>
          <w:iCs w:val="0"/>
          <w:caps w:val="0"/>
          <w:color w:val="auto"/>
          <w:spacing w:val="0"/>
          <w:sz w:val="31"/>
          <w:szCs w:val="31"/>
          <w:shd w:val="clear" w:fill="FFFFFF"/>
          <w:lang w:eastAsia="zh-CN"/>
        </w:rPr>
        <w:t>市场准入</w:t>
      </w:r>
      <w:r>
        <w:rPr>
          <w:rFonts w:hint="default" w:ascii="Times New Roman" w:hAnsi="Times New Roman" w:eastAsia="仿宋_GB2312" w:cs="Times New Roman"/>
          <w:i w:val="0"/>
          <w:iCs w:val="0"/>
          <w:caps w:val="0"/>
          <w:color w:val="auto"/>
          <w:spacing w:val="0"/>
          <w:sz w:val="31"/>
          <w:szCs w:val="31"/>
          <w:shd w:val="clear" w:fill="FFFFFF"/>
        </w:rPr>
        <w:t>、许可审批、信用监管等市场主体管理专项工作支出</w:t>
      </w:r>
      <w:r>
        <w:rPr>
          <w:rFonts w:hint="default" w:ascii="Times New Roman" w:hAnsi="Times New Roman" w:eastAsia="仿宋_GB2312" w:cs="Times New Roman"/>
          <w:i w:val="0"/>
          <w:iCs w:val="0"/>
          <w:caps w:val="0"/>
          <w:color w:val="auto"/>
          <w:spacing w:val="0"/>
          <w:sz w:val="31"/>
          <w:szCs w:val="31"/>
          <w:shd w:val="clear" w:fill="FFFFFF"/>
          <w:lang w:val="en-US" w:eastAsia="zh-CN"/>
        </w:rPr>
        <w:t>。</w:t>
      </w:r>
    </w:p>
    <w:p>
      <w:pPr>
        <w:ind w:firstLine="620" w:firstLineChars="200"/>
        <w:rPr>
          <w:rFonts w:hint="default" w:ascii="Times New Roman" w:hAnsi="Times New Roman" w:eastAsia="仿宋_GB2312" w:cs="Times New Roman"/>
          <w:i w:val="0"/>
          <w:iCs w:val="0"/>
          <w:caps w:val="0"/>
          <w:color w:val="auto"/>
          <w:spacing w:val="0"/>
          <w:kern w:val="0"/>
          <w:sz w:val="31"/>
          <w:szCs w:val="31"/>
          <w:shd w:val="clear" w:fill="FFFFFF"/>
          <w:lang w:val="en-US" w:eastAsia="zh-CN" w:bidi="ar"/>
        </w:rPr>
      </w:pPr>
      <w:r>
        <w:rPr>
          <w:rFonts w:hint="default" w:ascii="Times New Roman" w:hAnsi="Times New Roman" w:eastAsia="仿宋_GB2312" w:cs="Times New Roman"/>
          <w:i w:val="0"/>
          <w:iCs w:val="0"/>
          <w:caps w:val="0"/>
          <w:color w:val="auto"/>
          <w:spacing w:val="0"/>
          <w:kern w:val="0"/>
          <w:sz w:val="31"/>
          <w:szCs w:val="31"/>
          <w:shd w:val="clear" w:fill="FFFFFF"/>
          <w:lang w:val="en-US" w:eastAsia="zh-CN" w:bidi="ar"/>
        </w:rPr>
        <w:t>19.一般公共服务（类）市场监督管理事务（款）质量基础（项）：指计量、标准、认证认可、检验检测等质量基础专项工作支出。</w:t>
      </w:r>
    </w:p>
    <w:p>
      <w:pPr>
        <w:ind w:firstLine="620" w:firstLineChars="200"/>
        <w:rPr>
          <w:rFonts w:hint="default" w:ascii="Times New Roman" w:hAnsi="Times New Roman" w:eastAsia="仿宋_GB2312" w:cs="Times New Roman"/>
          <w:i w:val="0"/>
          <w:iCs w:val="0"/>
          <w:caps w:val="0"/>
          <w:color w:val="auto"/>
          <w:spacing w:val="0"/>
          <w:kern w:val="0"/>
          <w:sz w:val="31"/>
          <w:szCs w:val="31"/>
          <w:shd w:val="clear" w:fill="FFFFFF"/>
          <w:lang w:val="en-US" w:eastAsia="zh-CN" w:bidi="ar"/>
        </w:rPr>
      </w:pPr>
      <w:r>
        <w:rPr>
          <w:rFonts w:hint="default" w:ascii="Times New Roman" w:hAnsi="Times New Roman" w:eastAsia="仿宋_GB2312" w:cs="Times New Roman"/>
          <w:i w:val="0"/>
          <w:iCs w:val="0"/>
          <w:caps w:val="0"/>
          <w:color w:val="auto"/>
          <w:spacing w:val="0"/>
          <w:kern w:val="0"/>
          <w:sz w:val="31"/>
          <w:szCs w:val="31"/>
          <w:shd w:val="clear" w:fill="FFFFFF"/>
          <w:lang w:val="en-US" w:eastAsia="zh-CN" w:bidi="ar"/>
        </w:rPr>
        <w:t>20.一般公共服务（类）市场监督管理事务（款）质量安全监管（项）：指产品质量安全监管、特种设备安全监管等质量监管专项工作支出。</w:t>
      </w:r>
    </w:p>
    <w:p>
      <w:pPr>
        <w:ind w:firstLine="620" w:firstLineChars="200"/>
        <w:rPr>
          <w:rFonts w:hint="default" w:ascii="Times New Roman" w:hAnsi="Times New Roman" w:eastAsia="仿宋_GB2312" w:cs="Times New Roman"/>
          <w:i w:val="0"/>
          <w:iCs w:val="0"/>
          <w:caps w:val="0"/>
          <w:color w:val="auto"/>
          <w:spacing w:val="0"/>
          <w:kern w:val="0"/>
          <w:sz w:val="31"/>
          <w:szCs w:val="31"/>
          <w:shd w:val="clear" w:fill="FFFFFF"/>
          <w:lang w:val="en-US" w:eastAsia="zh-CN" w:bidi="ar"/>
        </w:rPr>
      </w:pPr>
      <w:r>
        <w:rPr>
          <w:rFonts w:hint="default" w:ascii="Times New Roman" w:hAnsi="Times New Roman" w:eastAsia="仿宋_GB2312" w:cs="Times New Roman"/>
          <w:i w:val="0"/>
          <w:iCs w:val="0"/>
          <w:caps w:val="0"/>
          <w:color w:val="auto"/>
          <w:spacing w:val="0"/>
          <w:kern w:val="0"/>
          <w:sz w:val="31"/>
          <w:szCs w:val="31"/>
          <w:shd w:val="clear" w:fill="FFFFFF"/>
          <w:lang w:val="en-US" w:eastAsia="zh-CN" w:bidi="ar"/>
        </w:rPr>
        <w:t>21.科学技术（类）其他科学技术支出（款）其他科学技术支出（项）：指反映其他科学技术支出中除以上各项外用于科技方面的支出。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w:t>
      </w:r>
      <w:r>
        <w:rPr>
          <w:rFonts w:hint="eastAsia" w:eastAsia="仿宋_GB2312" w:cs="仿宋_GB2312"/>
          <w:color w:val="auto"/>
          <w:kern w:val="2"/>
          <w:sz w:val="32"/>
          <w:szCs w:val="32"/>
          <w:highlight w:val="none"/>
          <w:lang w:val="en-US" w:eastAsia="zh-CN" w:bidi="ar-SA"/>
        </w:rPr>
        <w:t>单位</w:t>
      </w:r>
      <w:r>
        <w:rPr>
          <w:rFonts w:hint="eastAsia" w:ascii="Times New Roman" w:hAnsi="Times New Roman" w:eastAsia="仿宋_GB2312" w:cs="仿宋_GB2312"/>
          <w:color w:val="auto"/>
          <w:kern w:val="2"/>
          <w:sz w:val="32"/>
          <w:szCs w:val="32"/>
          <w:highlight w:val="none"/>
          <w:lang w:val="en-US" w:eastAsia="zh-CN" w:bidi="ar-SA"/>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p>
    <w:p>
      <w:pPr>
        <w:spacing w:line="600" w:lineRule="exact"/>
        <w:jc w:val="center"/>
        <w:outlineLvl w:val="0"/>
        <w:rPr>
          <w:rStyle w:val="29"/>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54" w:name="_Toc24454"/>
      <w:bookmarkStart w:id="55"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4"/>
      <w:bookmarkEnd w:id="55"/>
    </w:p>
    <w:p>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eastAsia="黑体" w:cs="黑体"/>
          <w:color w:val="auto"/>
          <w:sz w:val="32"/>
          <w:szCs w:val="32"/>
          <w:highlight w:val="none"/>
          <w:lang w:val="en-US" w:eastAsia="zh-CN"/>
        </w:rPr>
      </w:pPr>
      <w:bookmarkStart w:id="56" w:name="_Toc23393"/>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56"/>
      <w:r>
        <w:rPr>
          <w:rFonts w:hint="eastAsia" w:eastAsia="黑体" w:cs="黑体"/>
          <w:color w:val="auto"/>
          <w:sz w:val="32"/>
          <w:szCs w:val="32"/>
          <w:highlight w:val="none"/>
          <w:lang w:val="en-US" w:eastAsia="zh-CN"/>
        </w:rPr>
        <w:t xml:space="preserve"> </w:t>
      </w:r>
    </w:p>
    <w:p>
      <w:pPr>
        <w:keepNext w:val="0"/>
        <w:keepLines w:val="0"/>
        <w:pageBreakBefore w:val="0"/>
        <w:kinsoku/>
        <w:wordWrap/>
        <w:overflowPunct/>
        <w:topLinePunct w:val="0"/>
        <w:autoSpaceDE/>
        <w:autoSpaceDN/>
        <w:bidi w:val="0"/>
        <w:spacing w:line="572" w:lineRule="exact"/>
        <w:ind w:firstLine="1280" w:firstLineChars="400"/>
        <w:jc w:val="left"/>
        <w:textAlignment w:val="auto"/>
        <w:outlineLvl w:val="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单位预算项目支出绩效自评表（202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年度）</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7"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3"/>
      <w:bookmarkEnd w:id="57"/>
      <w:bookmarkStart w:id="58"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0"/>
      <w:r>
        <w:rPr>
          <w:rFonts w:hint="eastAsia" w:ascii="Times New Roman" w:hAnsi="Times New Roman" w:eastAsia="仿宋_GB2312" w:cs="仿宋_GB2312"/>
          <w:color w:val="auto"/>
          <w:sz w:val="32"/>
          <w:szCs w:val="32"/>
          <w:highlight w:val="none"/>
        </w:rPr>
        <w:t>二、收入决算表</w:t>
      </w:r>
      <w:bookmarkEnd w:id="5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1"/>
      <w:r>
        <w:rPr>
          <w:rFonts w:hint="eastAsia" w:ascii="Times New Roman" w:hAnsi="Times New Roman" w:eastAsia="仿宋_GB2312" w:cs="仿宋_GB2312"/>
          <w:color w:val="auto"/>
          <w:sz w:val="32"/>
          <w:szCs w:val="32"/>
          <w:highlight w:val="none"/>
        </w:rPr>
        <w:t>三、支出决算表</w:t>
      </w:r>
      <w:bookmarkEnd w:id="6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2"/>
      <w:r>
        <w:rPr>
          <w:rFonts w:hint="eastAsia" w:ascii="Times New Roman" w:hAnsi="Times New Roman" w:eastAsia="仿宋_GB2312" w:cs="仿宋_GB2312"/>
          <w:color w:val="auto"/>
          <w:sz w:val="32"/>
          <w:szCs w:val="32"/>
          <w:highlight w:val="none"/>
        </w:rPr>
        <w:t>四、财政拨款收入支出决算总表</w:t>
      </w:r>
      <w:bookmarkEnd w:id="6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3"/>
      <w:r>
        <w:rPr>
          <w:rFonts w:hint="eastAsia" w:ascii="Times New Roman" w:hAnsi="Times New Roman" w:eastAsia="仿宋_GB2312" w:cs="仿宋_GB2312"/>
          <w:color w:val="auto"/>
          <w:sz w:val="32"/>
          <w:szCs w:val="32"/>
          <w:highlight w:val="none"/>
        </w:rPr>
        <w:t>五、财政拨款支出决算明细表</w:t>
      </w:r>
      <w:bookmarkEnd w:id="62"/>
      <w:bookmarkStart w:id="63"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5"/>
      <w:r>
        <w:rPr>
          <w:rFonts w:hint="eastAsia" w:ascii="Times New Roman" w:hAnsi="Times New Roman" w:eastAsia="仿宋_GB2312" w:cs="仿宋_GB2312"/>
          <w:color w:val="auto"/>
          <w:sz w:val="32"/>
          <w:szCs w:val="32"/>
          <w:highlight w:val="none"/>
        </w:rPr>
        <w:t>七、一般公共预算财政拨款支出决算明细表</w:t>
      </w:r>
      <w:bookmarkEnd w:id="6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6"/>
      <w:r>
        <w:rPr>
          <w:rFonts w:hint="eastAsia" w:ascii="Times New Roman" w:hAnsi="Times New Roman" w:eastAsia="仿宋_GB2312" w:cs="仿宋_GB2312"/>
          <w:color w:val="auto"/>
          <w:sz w:val="32"/>
          <w:szCs w:val="32"/>
          <w:highlight w:val="none"/>
        </w:rPr>
        <w:t>八、一般公共预算财政拨款基本支出决算表</w:t>
      </w:r>
      <w:bookmarkEnd w:id="6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7"/>
      <w:r>
        <w:rPr>
          <w:rFonts w:hint="eastAsia" w:ascii="Times New Roman" w:hAnsi="Times New Roman" w:eastAsia="仿宋_GB2312" w:cs="仿宋_GB2312"/>
          <w:color w:val="auto"/>
          <w:sz w:val="32"/>
          <w:szCs w:val="32"/>
          <w:highlight w:val="none"/>
        </w:rPr>
        <w:t>九、一般公共预算财政拨款项目支出决算表</w:t>
      </w:r>
      <w:bookmarkEnd w:id="6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8"/>
      <w:r>
        <w:rPr>
          <w:rFonts w:hint="eastAsia" w:ascii="Times New Roman" w:hAnsi="Times New Roman" w:eastAsia="仿宋_GB2312" w:cs="仿宋_GB2312"/>
          <w:color w:val="auto"/>
          <w:sz w:val="32"/>
          <w:szCs w:val="32"/>
          <w:highlight w:val="none"/>
        </w:rPr>
        <w:t>十、</w:t>
      </w:r>
      <w:bookmarkEnd w:id="67"/>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9"/>
      <w:r>
        <w:rPr>
          <w:rFonts w:hint="eastAsia" w:ascii="Times New Roman" w:hAnsi="Times New Roman" w:eastAsia="仿宋_GB2312" w:cs="仿宋_GB2312"/>
          <w:color w:val="auto"/>
          <w:sz w:val="32"/>
          <w:szCs w:val="32"/>
          <w:highlight w:val="none"/>
        </w:rPr>
        <w:t>十一、</w:t>
      </w:r>
      <w:bookmarkEnd w:id="6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30"/>
      <w:r>
        <w:rPr>
          <w:rFonts w:hint="eastAsia" w:ascii="Times New Roman" w:hAnsi="Times New Roman" w:eastAsia="仿宋_GB2312" w:cs="仿宋_GB2312"/>
          <w:color w:val="auto"/>
          <w:sz w:val="32"/>
          <w:szCs w:val="32"/>
          <w:highlight w:val="none"/>
        </w:rPr>
        <w:t>十二、</w:t>
      </w:r>
      <w:bookmarkEnd w:id="69"/>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0" w:name="_Toc15396631"/>
      <w:r>
        <w:rPr>
          <w:rFonts w:hint="eastAsia" w:ascii="Times New Roman" w:hAnsi="Times New Roman" w:eastAsia="仿宋_GB2312" w:cs="仿宋_GB2312"/>
          <w:color w:val="auto"/>
          <w:sz w:val="32"/>
          <w:szCs w:val="32"/>
          <w:highlight w:val="none"/>
        </w:rPr>
        <w:t>十三、</w:t>
      </w:r>
      <w:bookmarkEnd w:id="70"/>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9961F5"/>
    <w:rsid w:val="1BE8440E"/>
    <w:rsid w:val="1D155CEE"/>
    <w:rsid w:val="1E740ACF"/>
    <w:rsid w:val="1FF35744"/>
    <w:rsid w:val="1FF6BC77"/>
    <w:rsid w:val="21962A9E"/>
    <w:rsid w:val="21AE7C77"/>
    <w:rsid w:val="22BC3C41"/>
    <w:rsid w:val="23860B96"/>
    <w:rsid w:val="240371BF"/>
    <w:rsid w:val="260F557C"/>
    <w:rsid w:val="281408E2"/>
    <w:rsid w:val="293B5818"/>
    <w:rsid w:val="29FD04D3"/>
    <w:rsid w:val="2BA749D1"/>
    <w:rsid w:val="2BFF7BC6"/>
    <w:rsid w:val="2C8A61B5"/>
    <w:rsid w:val="2D2E01CF"/>
    <w:rsid w:val="2DF04E50"/>
    <w:rsid w:val="2E9545B0"/>
    <w:rsid w:val="2F040D46"/>
    <w:rsid w:val="2FAE5751"/>
    <w:rsid w:val="2FB1A395"/>
    <w:rsid w:val="2FD9A7D8"/>
    <w:rsid w:val="2FDB2F36"/>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BA6309"/>
    <w:rsid w:val="3CEBA265"/>
    <w:rsid w:val="3CF85C8D"/>
    <w:rsid w:val="3D98207C"/>
    <w:rsid w:val="3D9B0D99"/>
    <w:rsid w:val="3DEE7CF3"/>
    <w:rsid w:val="3DF02244"/>
    <w:rsid w:val="3E78745D"/>
    <w:rsid w:val="3FF4CAE0"/>
    <w:rsid w:val="3FF7B227"/>
    <w:rsid w:val="40E54C45"/>
    <w:rsid w:val="43A407DF"/>
    <w:rsid w:val="44515BEA"/>
    <w:rsid w:val="44E268DA"/>
    <w:rsid w:val="453F7E5B"/>
    <w:rsid w:val="47724C76"/>
    <w:rsid w:val="486A6C7A"/>
    <w:rsid w:val="49176D9B"/>
    <w:rsid w:val="4A627F82"/>
    <w:rsid w:val="4B0E749A"/>
    <w:rsid w:val="4B4F25DA"/>
    <w:rsid w:val="4BDA0CFB"/>
    <w:rsid w:val="4BE068DB"/>
    <w:rsid w:val="4D3C0CCC"/>
    <w:rsid w:val="4D577224"/>
    <w:rsid w:val="4DBF1CEB"/>
    <w:rsid w:val="4DC27B93"/>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CFE828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9F76548"/>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436D0F"/>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BEDE6A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2EE3F2"/>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D:\&#30465;&#35745;&#37327;&#38498;&#36130;&#30456;&#20851;\2026&#24180;\&#19978;&#25253;&#30465;&#23616;&#25991;&#20214;\2025&#24180;&#20915;&#31639;&#20844;&#24320;\&#26032;&#24314;%20Microsoft%20Excel%20&#24037;&#20316;&#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30465;&#35745;&#37327;&#38498;&#36130;&#30456;&#20851;\2026&#24180;\&#19978;&#25253;&#30465;&#23616;&#25991;&#20214;\2025&#24180;&#20915;&#31639;&#20844;&#24320;\&#26032;&#24314;%20Microsoft%20Excel%20&#24037;&#20316;&#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30465;&#35745;&#37327;&#38498;&#36130;&#30456;&#20851;\2026&#24180;\&#19978;&#25253;&#30465;&#23616;&#25991;&#20214;\2025&#24180;&#20915;&#31639;&#20844;&#24320;\&#26032;&#24314;%20Microsoft%20Excel%20&#24037;&#20316;&#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D:\&#30465;&#35745;&#37327;&#38498;&#36130;&#30456;&#20851;\2026&#24180;\&#19978;&#25253;&#30465;&#23616;&#25991;&#20214;\2025&#24180;&#20915;&#31639;&#20844;&#24320;\2025&#24180;&#20915;&#31639;&#20844;&#24320;\&#26032;&#24314;%20Microsoft%20Excel%20&#24037;&#20316;&#349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D:\&#30465;&#35745;&#37327;&#38498;&#36130;&#30456;&#20851;\2026&#24180;\&#19978;&#25253;&#30465;&#23616;&#25991;&#20214;\2025&#24180;&#20915;&#31639;&#20844;&#24320;\&#26032;&#24314;%20Microsoft%20Excel%20&#24037;&#20316;&#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30465;&#35745;&#37327;&#38498;&#36130;&#30456;&#20851;\2026&#24180;\&#19978;&#25253;&#30465;&#23616;&#25991;&#20214;\2025&#24180;&#20915;&#31639;&#20844;&#24320;\&#26032;&#24314;%20Microsoft%20Excel%20&#24037;&#20316;&#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30465;&#35745;&#37327;&#38498;&#36130;&#30456;&#20851;\2026&#24180;\&#19978;&#25253;&#30465;&#23616;&#25991;&#20214;\2025&#24180;&#20915;&#31639;&#20844;&#24320;\&#26032;&#24314;%20Microsoft%20Excel%20&#24037;&#20316;&#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100" b="1"/>
              <a:t>收入、支出决算总计变动情况图（单位/万元）</a:t>
            </a:r>
            <a:endParaRPr sz="1100" b="1"/>
          </a:p>
        </c:rich>
      </c:tx>
      <c:layout>
        <c:manualLayout>
          <c:xMode val="edge"/>
          <c:yMode val="edge"/>
          <c:x val="0.117803289924606"/>
          <c:y val="0.0252631578947369"/>
        </c:manualLayout>
      </c:layout>
      <c:overlay val="0"/>
      <c:spPr>
        <a:noFill/>
        <a:ln>
          <a:noFill/>
        </a:ln>
        <a:effectLst/>
      </c:spPr>
    </c:title>
    <c:autoTitleDeleted val="0"/>
    <c:plotArea>
      <c:layout/>
      <c:barChart>
        <c:barDir val="col"/>
        <c:grouping val="clustered"/>
        <c:varyColors val="0"/>
        <c:ser>
          <c:idx val="0"/>
          <c:order val="0"/>
          <c:tx>
            <c:strRef>
              <c:f>'[新建 Microsoft Excel 工作表.xlsx]Sheet1'!$B$1</c:f>
              <c:strCache>
                <c:ptCount val="1"/>
                <c:pt idx="0">
                  <c:v>收入、支出决算总计变动情况图（单位/万元）</c:v>
                </c:pt>
              </c:strCache>
            </c:strRef>
          </c:tx>
          <c:spPr>
            <a:solidFill>
              <a:schemeClr val="tx2">
                <a:lumMod val="40000"/>
                <a:lumOff val="60000"/>
              </a:schemeClr>
            </a:solidFill>
            <a:ln>
              <a:noFill/>
            </a:ln>
            <a:effectLst/>
          </c:spPr>
          <c:invertIfNegative val="0"/>
          <c:dPt>
            <c:idx val="1"/>
            <c:invertIfNegative val="0"/>
            <c:bubble3D val="0"/>
            <c:spPr>
              <a:solidFill>
                <a:schemeClr val="accent6">
                  <a:lumMod val="40000"/>
                  <a:lumOff val="60000"/>
                </a:schemeClr>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Microsoft Excel 工作表.xlsx]Sheet1'!$A$2:$A$3</c:f>
              <c:strCache>
                <c:ptCount val="2"/>
                <c:pt idx="0">
                  <c:v>2025年</c:v>
                </c:pt>
                <c:pt idx="1">
                  <c:v>2024年</c:v>
                </c:pt>
              </c:strCache>
            </c:strRef>
          </c:cat>
          <c:val>
            <c:numRef>
              <c:f>'[新建 Microsoft Excel 工作表.xlsx]Sheet1'!$B$2:$B$3</c:f>
              <c:numCache>
                <c:formatCode>General</c:formatCode>
                <c:ptCount val="2"/>
                <c:pt idx="0">
                  <c:v>2991.9</c:v>
                </c:pt>
                <c:pt idx="1">
                  <c:v>2600.23</c:v>
                </c:pt>
              </c:numCache>
            </c:numRef>
          </c:val>
        </c:ser>
        <c:dLbls>
          <c:showLegendKey val="0"/>
          <c:showVal val="1"/>
          <c:showCatName val="0"/>
          <c:showSerName val="0"/>
          <c:showPercent val="0"/>
          <c:showBubbleSize val="0"/>
        </c:dLbls>
        <c:gapWidth val="219"/>
        <c:overlap val="-27"/>
        <c:axId val="620769486"/>
        <c:axId val="956200614"/>
      </c:barChart>
      <c:catAx>
        <c:axId val="62076948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6200614"/>
        <c:crosses val="autoZero"/>
        <c:auto val="1"/>
        <c:lblAlgn val="ctr"/>
        <c:lblOffset val="100"/>
        <c:noMultiLvlLbl val="0"/>
      </c:catAx>
      <c:valAx>
        <c:axId val="95620061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076948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rPr sz="1400"/>
              <a:t>收入决算结构图（单位/万元）</a:t>
            </a:r>
            <a:endParaRPr sz="1400"/>
          </a:p>
        </c:rich>
      </c:tx>
      <c:layout/>
      <c:overlay val="0"/>
      <c:spPr>
        <a:noFill/>
        <a:ln>
          <a:noFill/>
        </a:ln>
        <a:effectLst/>
      </c:spPr>
    </c:title>
    <c:autoTitleDeleted val="0"/>
    <c:plotArea>
      <c:layout/>
      <c:pieChart>
        <c:varyColors val="1"/>
        <c:ser>
          <c:idx val="0"/>
          <c:order val="0"/>
          <c:spPr/>
          <c:explosion val="0"/>
          <c:dPt>
            <c:idx val="0"/>
            <c:bubble3D val="0"/>
            <c:spPr>
              <a:solidFill>
                <a:schemeClr val="tx2">
                  <a:lumMod val="40000"/>
                  <a:lumOff val="60000"/>
                </a:schemeClr>
              </a:solidFill>
              <a:ln>
                <a:noFill/>
              </a:ln>
              <a:effectLst>
                <a:outerShdw blurRad="254000" sx="102000" sy="102000" algn="ctr" rotWithShape="0">
                  <a:prstClr val="black">
                    <a:alpha val="20000"/>
                  </a:prstClr>
                </a:outerShdw>
              </a:effectLst>
            </c:spPr>
          </c:dPt>
          <c:dPt>
            <c:idx val="1"/>
            <c:bubble3D val="0"/>
            <c:spPr>
              <a:solidFill>
                <a:schemeClr val="accent6">
                  <a:lumMod val="40000"/>
                  <a:lumOff val="60000"/>
                </a:schemeClr>
              </a:solidFill>
              <a:ln>
                <a:noFill/>
              </a:ln>
              <a:effectLst>
                <a:outerShdw blurRad="254000" sx="102000" sy="102000" algn="ctr" rotWithShape="0">
                  <a:prstClr val="black">
                    <a:alpha val="20000"/>
                  </a:prstClr>
                </a:outerShdw>
              </a:effectLst>
            </c:spPr>
          </c:dPt>
          <c:dLbls>
            <c:dLbl>
              <c:idx val="1"/>
              <c:layout>
                <c:manualLayout>
                  <c:x val="0.142275596182135"/>
                  <c:y val="0.164163158870524"/>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'[新建 Microsoft Excel 工作表.xlsx]Sheet1'!$A$17:$A$18</c:f>
              <c:strCache>
                <c:ptCount val="2"/>
                <c:pt idx="0">
                  <c:v>一般公共预算财政拨款收入</c:v>
                </c:pt>
                <c:pt idx="1">
                  <c:v>事业收入</c:v>
                </c:pt>
              </c:strCache>
            </c:strRef>
          </c:cat>
          <c:val>
            <c:numRef>
              <c:f>'[新建 Microsoft Excel 工作表.xlsx]Sheet1'!$B$17:$B$18</c:f>
              <c:numCache>
                <c:formatCode>General</c:formatCode>
                <c:ptCount val="2"/>
                <c:pt idx="0">
                  <c:v>2070.93</c:v>
                </c:pt>
                <c:pt idx="1">
                  <c:v>920.96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支出决算结构图</a:t>
            </a:r>
            <a:endParaRPr b="1"/>
          </a:p>
        </c:rich>
      </c:tx>
      <c:layout/>
      <c:overlay val="0"/>
      <c:spPr>
        <a:noFill/>
        <a:ln>
          <a:noFill/>
        </a:ln>
        <a:effectLst/>
      </c:spPr>
    </c:title>
    <c:autoTitleDeleted val="0"/>
    <c:plotArea>
      <c:layout/>
      <c:pieChart>
        <c:varyColors val="1"/>
        <c:ser>
          <c:idx val="0"/>
          <c:order val="0"/>
          <c:spPr/>
          <c:explosion val="0"/>
          <c:dPt>
            <c:idx val="0"/>
            <c:bubble3D val="0"/>
            <c:spPr>
              <a:solidFill>
                <a:schemeClr val="accent6">
                  <a:lumMod val="40000"/>
                  <a:lumOff val="60000"/>
                </a:schemeClr>
              </a:solidFill>
              <a:ln w="19050">
                <a:solidFill>
                  <a:schemeClr val="lt1"/>
                </a:solidFill>
              </a:ln>
              <a:effectLst/>
            </c:spPr>
          </c:dPt>
          <c:dPt>
            <c:idx val="1"/>
            <c:bubble3D val="0"/>
            <c:spPr>
              <a:solidFill>
                <a:schemeClr val="tx2">
                  <a:lumMod val="40000"/>
                  <a:lumOff val="60000"/>
                </a:schemeClr>
              </a:solidFill>
              <a:ln w="19050">
                <a:solidFill>
                  <a:schemeClr val="lt1"/>
                </a:solidFill>
              </a:ln>
              <a:effectLst/>
            </c:spPr>
          </c:dPt>
          <c:dLbls>
            <c:dLbl>
              <c:idx val="0"/>
              <c:layout>
                <c:manualLayout>
                  <c:x val="-0.119388812567841"/>
                  <c:y val="0.134067620618246"/>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172492935765761"/>
                  <c:y val="-0.16870301936681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Microsoft Excel 工作表.xlsx]Sheet1'!$A$28:$A$29</c:f>
              <c:strCache>
                <c:ptCount val="2"/>
                <c:pt idx="0">
                  <c:v>基本支出</c:v>
                </c:pt>
                <c:pt idx="1">
                  <c:v>项目支出</c:v>
                </c:pt>
              </c:strCache>
            </c:strRef>
          </c:cat>
          <c:val>
            <c:numRef>
              <c:f>'[新建 Microsoft Excel 工作表.xlsx]Sheet1'!$B$28:$B$29</c:f>
              <c:numCache>
                <c:formatCode>General</c:formatCode>
                <c:ptCount val="2"/>
                <c:pt idx="0">
                  <c:v>752.93</c:v>
                </c:pt>
                <c:pt idx="1">
                  <c:v>2060.67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050" b="1"/>
              <a:t>财政拨款收、支决算总计变动情况  单位/万元</a:t>
            </a:r>
            <a:endParaRPr sz="1050" b="1"/>
          </a:p>
        </c:rich>
      </c:tx>
      <c:layout/>
      <c:overlay val="0"/>
      <c:spPr>
        <a:noFill/>
        <a:ln>
          <a:noFill/>
        </a:ln>
        <a:effectLst/>
      </c:spPr>
    </c:title>
    <c:autoTitleDeleted val="0"/>
    <c:plotArea>
      <c:layout/>
      <c:barChart>
        <c:barDir val="col"/>
        <c:grouping val="clustered"/>
        <c:varyColors val="0"/>
        <c:ser>
          <c:idx val="0"/>
          <c:order val="0"/>
          <c:tx>
            <c:strRef>
              <c:f>'[新建 Microsoft Excel 工作表.xlsx]Sheet1'!$A$3</c:f>
              <c:strCache>
                <c:ptCount val="1"/>
                <c:pt idx="0">
                  <c:v>2025</c:v>
                </c:pt>
              </c:strCache>
            </c:strRef>
          </c:tx>
          <c:spPr>
            <a:solidFill>
              <a:schemeClr val="tx2">
                <a:lumMod val="40000"/>
                <a:lumOff val="60000"/>
              </a:schemeClr>
            </a:solidFill>
            <a:ln>
              <a:noFill/>
            </a:ln>
            <a:effectLst/>
          </c:spPr>
          <c:invertIfNegative val="0"/>
          <c:dPt>
            <c:idx val="0"/>
            <c:invertIfNegative val="0"/>
            <c:bubble3D val="0"/>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'[新建 Microsoft Excel 工作表.xlsx]Sheet1'!$B$1:$C$2</c:f>
              <c:numCache>
                <c:formatCode>General</c:formatCode>
                <c:ptCount val="2"/>
              </c:numCache>
            </c:numRef>
          </c:cat>
          <c:val>
            <c:numRef>
              <c:f>'[新建 Microsoft Excel 工作表.xlsx]Sheet1'!$B$3:$C$3</c:f>
              <c:numCache>
                <c:formatCode>General</c:formatCode>
                <c:ptCount val="2"/>
                <c:pt idx="0">
                  <c:v>2070.93</c:v>
                </c:pt>
              </c:numCache>
            </c:numRef>
          </c:val>
        </c:ser>
        <c:ser>
          <c:idx val="1"/>
          <c:order val="1"/>
          <c:tx>
            <c:strRef>
              <c:f>'[新建 Microsoft Excel 工作表.xlsx]Sheet1'!$A$4</c:f>
              <c:strCache>
                <c:ptCount val="1"/>
                <c:pt idx="0">
                  <c:v>2024</c:v>
                </c:pt>
              </c:strCache>
            </c:strRef>
          </c:tx>
          <c:spPr>
            <a:solidFill>
              <a:schemeClr val="accent2"/>
            </a:solidFill>
            <a:ln>
              <a:noFill/>
            </a:ln>
            <a:effectLst/>
          </c:spPr>
          <c:invertIfNegative val="0"/>
          <c:dPt>
            <c:idx val="0"/>
            <c:invertIfNegative val="0"/>
            <c:bubble3D val="0"/>
            <c:spPr>
              <a:solidFill>
                <a:schemeClr val="accent6">
                  <a:lumMod val="60000"/>
                  <a:lumOff val="40000"/>
                </a:schemeClr>
              </a:solidFill>
              <a:ln>
                <a:noFill/>
              </a:ln>
              <a:effectLst/>
            </c:spPr>
          </c:dPt>
          <c:dPt>
            <c:idx val="1"/>
            <c:invertIfNegative val="0"/>
            <c:bubble3D val="0"/>
            <c:spPr>
              <a:solidFill>
                <a:schemeClr val="accent6">
                  <a:lumMod val="60000"/>
                  <a:lumOff val="40000"/>
                </a:schemeClr>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'[新建 Microsoft Excel 工作表.xlsx]Sheet1'!$B$1:$C$2</c:f>
              <c:numCache>
                <c:formatCode>General</c:formatCode>
                <c:ptCount val="2"/>
              </c:numCache>
            </c:numRef>
          </c:cat>
          <c:val>
            <c:numRef>
              <c:f>'[新建 Microsoft Excel 工作表.xlsx]Sheet1'!$B$4:$C$4</c:f>
              <c:numCache>
                <c:formatCode>General</c:formatCode>
                <c:ptCount val="2"/>
                <c:pt idx="0">
                  <c:v>1640.59</c:v>
                </c:pt>
              </c:numCache>
            </c:numRef>
          </c:val>
        </c:ser>
        <c:dLbls>
          <c:showLegendKey val="0"/>
          <c:showVal val="1"/>
          <c:showCatName val="0"/>
          <c:showSerName val="0"/>
          <c:showPercent val="0"/>
          <c:showBubbleSize val="0"/>
        </c:dLbls>
        <c:gapWidth val="75"/>
        <c:overlap val="-25"/>
        <c:axId val="279384972"/>
        <c:axId val="455477956"/>
      </c:barChart>
      <c:catAx>
        <c:axId val="27938497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5477956"/>
        <c:crosses val="autoZero"/>
        <c:auto val="1"/>
        <c:lblAlgn val="ctr"/>
        <c:lblOffset val="100"/>
        <c:noMultiLvlLbl val="0"/>
      </c:catAx>
      <c:valAx>
        <c:axId val="4554779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93849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sz="1050" b="1"/>
              <a:t>     </a:t>
            </a:r>
            <a:r>
              <a:rPr sz="1050" b="1"/>
              <a:t>一般公共预算财政拨款支出决算变动情况 单位/万元 </a:t>
            </a:r>
            <a:endParaRPr sz="1050" b="1"/>
          </a:p>
        </c:rich>
      </c:tx>
      <c:layout>
        <c:manualLayout>
          <c:xMode val="edge"/>
          <c:yMode val="edge"/>
          <c:x val="0.104926484628604"/>
          <c:y val="0.00906070673512534"/>
        </c:manualLayout>
      </c:layout>
      <c:overlay val="0"/>
      <c:spPr>
        <a:noFill/>
        <a:ln>
          <a:noFill/>
        </a:ln>
        <a:effectLst/>
      </c:spPr>
    </c:title>
    <c:autoTitleDeleted val="0"/>
    <c:plotArea>
      <c:layout/>
      <c:barChart>
        <c:barDir val="col"/>
        <c:grouping val="clustered"/>
        <c:varyColors val="0"/>
        <c:ser>
          <c:idx val="0"/>
          <c:order val="0"/>
          <c:tx>
            <c:strRef>
              <c:f>'[新建 Microsoft Excel 工作表.xlsx]Sheet1'!$B$7:$B$8</c:f>
              <c:strCache>
                <c:ptCount val="1"/>
                <c:pt idx="0">
                  <c:v>一般公共预算财政拨款支出决算变动情况 单位/万元 支出</c:v>
                </c:pt>
              </c:strCache>
            </c:strRef>
          </c:tx>
          <c:spPr>
            <a:solidFill>
              <a:schemeClr val="accent6">
                <a:lumMod val="60000"/>
                <a:lumOff val="40000"/>
              </a:schemeClr>
            </a:solidFill>
            <a:ln>
              <a:noFill/>
            </a:ln>
            <a:effectLst/>
          </c:spPr>
          <c:invertIfNegative val="0"/>
          <c:dPt>
            <c:idx val="0"/>
            <c:invertIfNegative val="0"/>
            <c:bubble3D val="0"/>
            <c:spPr>
              <a:solidFill>
                <a:schemeClr val="accent1">
                  <a:lumMod val="40000"/>
                  <a:lumOff val="60000"/>
                </a:schemeClr>
              </a:solidFill>
              <a:ln>
                <a:noFill/>
              </a:ln>
              <a:effectLst/>
            </c:spPr>
          </c:dPt>
          <c:dPt>
            <c:idx val="1"/>
            <c:invertIfNegative val="0"/>
            <c:bubble3D val="0"/>
            <c:spPr>
              <a:solidFill>
                <a:schemeClr val="accent6">
                  <a:lumMod val="60000"/>
                  <a:lumOff val="40000"/>
                </a:schemeClr>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Microsoft Excel 工作表.xlsx]Sheet1'!$A$9:$A$10</c:f>
              <c:strCache>
                <c:ptCount val="2"/>
                <c:pt idx="0">
                  <c:v>2025年</c:v>
                </c:pt>
                <c:pt idx="1">
                  <c:v>2024年</c:v>
                </c:pt>
              </c:strCache>
            </c:strRef>
          </c:cat>
          <c:val>
            <c:numRef>
              <c:f>'[新建 Microsoft Excel 工作表.xlsx]Sheet1'!$B$9:$B$10</c:f>
              <c:numCache>
                <c:formatCode>General</c:formatCode>
                <c:ptCount val="2"/>
                <c:pt idx="0">
                  <c:v>1956.99</c:v>
                </c:pt>
                <c:pt idx="1">
                  <c:v>1640.59</c:v>
                </c:pt>
              </c:numCache>
            </c:numRef>
          </c:val>
        </c:ser>
        <c:dLbls>
          <c:showLegendKey val="0"/>
          <c:showVal val="1"/>
          <c:showCatName val="0"/>
          <c:showSerName val="0"/>
          <c:showPercent val="0"/>
          <c:showBubbleSize val="0"/>
        </c:dLbls>
        <c:gapWidth val="150"/>
        <c:overlap val="0"/>
        <c:axId val="875338227"/>
        <c:axId val="144935174"/>
      </c:barChart>
      <c:catAx>
        <c:axId val="87533822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4935174"/>
        <c:crosses val="autoZero"/>
        <c:auto val="1"/>
        <c:lblAlgn val="ctr"/>
        <c:lblOffset val="100"/>
        <c:noMultiLvlLbl val="0"/>
      </c:catAx>
      <c:valAx>
        <c:axId val="14493517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5338227"/>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lumMod val="40000"/>
                  <a:lumOff val="60000"/>
                </a:schemeClr>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1"/>
              <c:layout>
                <c:manualLayout>
                  <c:x val="-0.150652870917407"/>
                  <c:y val="0.034808317665604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22989847330416"/>
                  <c:y val="-0.041463414634146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152864229420428"/>
                  <c:y val="0.031782397911441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solidFill>
                <a:schemeClr val="tx2">
                  <a:lumMod val="20000"/>
                  <a:lumOff val="80000"/>
                </a:schemeClr>
              </a:solid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Microsoft Excel 工作表.xlsx]Sheet1'!$A$23:$A$27</c:f>
              <c:strCache>
                <c:ptCount val="5"/>
                <c:pt idx="0">
                  <c:v>一般公共服务支出</c:v>
                </c:pt>
                <c:pt idx="1">
                  <c:v>科学技术支出</c:v>
                </c:pt>
                <c:pt idx="2">
                  <c:v>社会保障和就业支出</c:v>
                </c:pt>
                <c:pt idx="3">
                  <c:v>卫生健康支出</c:v>
                </c:pt>
                <c:pt idx="4">
                  <c:v>住房保障支出</c:v>
                </c:pt>
              </c:strCache>
            </c:strRef>
          </c:cat>
          <c:val>
            <c:numRef>
              <c:f>'[新建 Microsoft Excel 工作表.xlsx]Sheet1'!$B$23:$B$27</c:f>
              <c:numCache>
                <c:formatCode>0.00%</c:formatCode>
                <c:ptCount val="5"/>
                <c:pt idx="0">
                  <c:v>0.974833672290979</c:v>
                </c:pt>
                <c:pt idx="1">
                  <c:v>0.00428721806048095</c:v>
                </c:pt>
                <c:pt idx="2">
                  <c:v>0.010270927653834</c:v>
                </c:pt>
                <c:pt idx="3">
                  <c:v>0.00475222025774408</c:v>
                </c:pt>
                <c:pt idx="4">
                  <c:v>0.00585596173696205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rPr sz="1400"/>
              <a:t>财政拨款“三公”经费支出结构</a:t>
            </a:r>
            <a:endParaRPr sz="1400"/>
          </a:p>
        </c:rich>
      </c:tx>
      <c:layout>
        <c:manualLayout>
          <c:xMode val="edge"/>
          <c:yMode val="edge"/>
          <c:x val="0.177051413006469"/>
          <c:y val="0.0379867046533713"/>
        </c:manualLayout>
      </c:layout>
      <c:overlay val="0"/>
      <c:spPr>
        <a:noFill/>
        <a:ln>
          <a:noFill/>
        </a:ln>
        <a:effectLst/>
      </c:spPr>
    </c:title>
    <c:autoTitleDeleted val="0"/>
    <c:plotArea>
      <c:layout>
        <c:manualLayout>
          <c:layoutTarget val="inner"/>
          <c:xMode val="edge"/>
          <c:yMode val="edge"/>
          <c:x val="0.152962206332993"/>
          <c:y val="0.220006331117442"/>
          <c:w val="0.370616275110657"/>
          <c:h val="0.689142133586578"/>
        </c:manualLayout>
      </c:layout>
      <c:pieChart>
        <c:varyColors val="1"/>
        <c:ser>
          <c:idx val="0"/>
          <c:order val="0"/>
          <c:spPr>
            <a:solidFill>
              <a:schemeClr val="accent1">
                <a:lumMod val="40000"/>
                <a:lumOff val="60000"/>
              </a:schemeClr>
            </a:solidFill>
          </c:spPr>
          <c:explosion val="0"/>
          <c:dPt>
            <c:idx val="0"/>
            <c:bubble3D val="0"/>
            <c:spPr>
              <a:solidFill>
                <a:schemeClr val="accent1">
                  <a:lumMod val="40000"/>
                  <a:lumOff val="60000"/>
                </a:schemeClr>
              </a:solidFill>
              <a:ln>
                <a:noFill/>
              </a:ln>
              <a:effectLst>
                <a:outerShdw blurRad="254000" sx="102000" sy="102000" algn="ctr" rotWithShape="0">
                  <a:prstClr val="black">
                    <a:alpha val="20000"/>
                  </a:prstClr>
                </a:outerShdw>
              </a:effectLst>
            </c:spPr>
          </c:dPt>
          <c:dPt>
            <c:idx val="1"/>
            <c:bubble3D val="0"/>
            <c:spPr>
              <a:solidFill>
                <a:schemeClr val="accent1">
                  <a:lumMod val="40000"/>
                  <a:lumOff val="60000"/>
                </a:schemeClr>
              </a:solidFill>
              <a:ln>
                <a:noFill/>
              </a:ln>
              <a:effectLst>
                <a:outerShdw blurRad="254000" sx="102000" sy="102000" algn="ctr" rotWithShape="0">
                  <a:prstClr val="black">
                    <a:alpha val="20000"/>
                  </a:prstClr>
                </a:outerShdw>
              </a:effectLst>
            </c:spPr>
          </c:dPt>
          <c:dPt>
            <c:idx val="2"/>
            <c:bubble3D val="0"/>
            <c:spPr>
              <a:solidFill>
                <a:schemeClr val="accent6">
                  <a:lumMod val="40000"/>
                  <a:lumOff val="60000"/>
                </a:schemeClr>
              </a:solidFill>
              <a:ln>
                <a:solidFill>
                  <a:schemeClr val="accent4">
                    <a:lumMod val="60000"/>
                    <a:lumOff val="40000"/>
                  </a:schemeClr>
                </a:solidFill>
              </a:ln>
              <a:effectLst>
                <a:outerShdw blurRad="254000" sx="102000" sy="102000" algn="ctr" rotWithShape="0">
                  <a:prstClr val="black">
                    <a:alpha val="20000"/>
                  </a:prstClr>
                </a:outerShdw>
              </a:effectLst>
            </c:spPr>
          </c:dPt>
          <c:dLbls>
            <c:dLbl>
              <c:idx val="1"/>
              <c:layout>
                <c:manualLayout>
                  <c:x val="-0.110289694451705"/>
                  <c:y val="-0.209452211098535"/>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General" sourceLinked="1"/>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'[新建 Microsoft Excel 工作表.xlsx]Sheet1'!$A$37:$A$39</c:f>
              <c:strCache>
                <c:ptCount val="3"/>
                <c:pt idx="0">
                  <c:v>因公出国（境）费支出</c:v>
                </c:pt>
                <c:pt idx="1">
                  <c:v>公务用车购置及运行维护费支出</c:v>
                </c:pt>
                <c:pt idx="2">
                  <c:v>公务接待费支出</c:v>
                </c:pt>
              </c:strCache>
            </c:strRef>
          </c:cat>
          <c:val>
            <c:numRef>
              <c:f>'[新建 Microsoft Excel 工作表.xlsx]Sheet1'!$B$37:$B$39</c:f>
              <c:numCache>
                <c:formatCode>General</c:formatCode>
                <c:ptCount val="3"/>
                <c:pt idx="0">
                  <c:v>0</c:v>
                </c:pt>
                <c:pt idx="1">
                  <c:v>0.99</c:v>
                </c:pt>
                <c:pt idx="2">
                  <c:v>0.25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5792</Words>
  <Characters>6283</Characters>
  <Lines>61</Lines>
  <Paragraphs>17</Paragraphs>
  <TotalTime>251</TotalTime>
  <ScaleCrop>false</ScaleCrop>
  <LinksUpToDate>false</LinksUpToDate>
  <CharactersWithSpaces>6322</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大小大</cp:lastModifiedBy>
  <cp:lastPrinted>2026-08-03T17:27:00Z</cp:lastPrinted>
  <dcterms:modified xsi:type="dcterms:W3CDTF">2026-09-07T04:42:35Z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3BF536824C220DA3E40E8B68BA118B1C_42</vt:lpwstr>
  </property>
  <property fmtid="{D5CDD505-2E9C-101B-9397-08002B2CF9AE}" pid="4" name="KSOTemplateDocerSaveRecord">
    <vt:lpwstr>eyJoZGlkIjoiYzQ3ZjM0MWVmYTQwOWFkNmVlZWNlMTM1NDIyNDFhNTkiLCJ1c2VySWQiOiI1NjI5NzAwNDQifQ==</vt:lpwstr>
  </property>
</Properties>
</file>